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50" w:rsidRPr="00E30850" w:rsidRDefault="00E30850" w:rsidP="00E30850">
      <w:pPr>
        <w:pStyle w:val="Title"/>
        <w:jc w:val="center"/>
        <w:rPr>
          <w:rFonts w:ascii="Arial" w:hAnsi="Arial" w:cs="Arial"/>
          <w:sz w:val="28"/>
          <w:szCs w:val="28"/>
        </w:rPr>
      </w:pPr>
      <w:r w:rsidRPr="00E30850">
        <w:rPr>
          <w:rFonts w:ascii="Arial" w:hAnsi="Arial" w:cs="Arial"/>
          <w:sz w:val="28"/>
          <w:szCs w:val="28"/>
        </w:rPr>
        <w:t xml:space="preserve">Elucidating the Role of Microstructure in Thiophosphate Electrolytes </w:t>
      </w:r>
      <w:r>
        <w:rPr>
          <w:rFonts w:ascii="Arial" w:hAnsi="Arial" w:cs="Arial"/>
          <w:sz w:val="28"/>
          <w:szCs w:val="28"/>
        </w:rPr>
        <w:br/>
      </w:r>
      <w:r w:rsidRPr="00E30850">
        <w:rPr>
          <w:rFonts w:ascii="Arial" w:hAnsi="Arial" w:cs="Arial"/>
          <w:sz w:val="28"/>
          <w:szCs w:val="28"/>
        </w:rPr>
        <w:t>– a Combined Experimental and Theoretical Study of β-Li</w:t>
      </w:r>
      <w:r w:rsidRPr="00E30850">
        <w:rPr>
          <w:rFonts w:ascii="Arial" w:hAnsi="Arial" w:cs="Arial"/>
          <w:sz w:val="28"/>
          <w:szCs w:val="28"/>
          <w:vertAlign w:val="subscript"/>
        </w:rPr>
        <w:t>3</w:t>
      </w:r>
      <w:r w:rsidRPr="00E30850">
        <w:rPr>
          <w:rFonts w:ascii="Arial" w:hAnsi="Arial" w:cs="Arial"/>
          <w:sz w:val="28"/>
          <w:szCs w:val="28"/>
        </w:rPr>
        <w:t>PS</w:t>
      </w:r>
      <w:r w:rsidRPr="00E30850">
        <w:rPr>
          <w:rFonts w:ascii="Arial" w:hAnsi="Arial" w:cs="Arial"/>
          <w:sz w:val="28"/>
          <w:szCs w:val="28"/>
          <w:vertAlign w:val="subscript"/>
        </w:rPr>
        <w:t>4</w:t>
      </w:r>
    </w:p>
    <w:p w:rsidR="007E6075" w:rsidRPr="004F41FF" w:rsidRDefault="007E6075" w:rsidP="007E7649">
      <w:pPr>
        <w:pStyle w:val="Title"/>
        <w:jc w:val="center"/>
        <w:rPr>
          <w:rFonts w:ascii="Arial" w:hAnsi="Arial" w:cs="Arial"/>
          <w:sz w:val="28"/>
          <w:szCs w:val="28"/>
        </w:rPr>
      </w:pPr>
    </w:p>
    <w:p w:rsidR="0082627D" w:rsidRPr="00BE5369" w:rsidRDefault="00650A14" w:rsidP="0082627D">
      <w:pPr>
        <w:pStyle w:val="NoSpacing"/>
        <w:jc w:val="center"/>
        <w:rPr>
          <w:rFonts w:ascii="Arial" w:hAnsi="Arial" w:cs="Arial"/>
          <w:i w:val="0"/>
          <w:sz w:val="22"/>
          <w:vertAlign w:val="superscript"/>
        </w:rPr>
      </w:pPr>
      <w:r w:rsidRPr="00BE5369">
        <w:rPr>
          <w:rFonts w:ascii="Arial" w:hAnsi="Arial" w:cs="Arial"/>
          <w:i w:val="0"/>
          <w:sz w:val="22"/>
        </w:rPr>
        <w:t>Tugc</w:t>
      </w:r>
      <w:r w:rsidR="0082627D" w:rsidRPr="00BE5369">
        <w:rPr>
          <w:rFonts w:ascii="Arial" w:hAnsi="Arial" w:cs="Arial"/>
          <w:i w:val="0"/>
          <w:sz w:val="22"/>
        </w:rPr>
        <w:t>e Ate</w:t>
      </w:r>
      <w:r w:rsidRPr="00BE5369">
        <w:rPr>
          <w:rFonts w:ascii="Arial" w:hAnsi="Arial" w:cs="Arial"/>
          <w:i w:val="0"/>
          <w:sz w:val="22"/>
        </w:rPr>
        <w:t>s</w:t>
      </w:r>
      <w:r w:rsidR="004F41FF" w:rsidRPr="00BE5369">
        <w:rPr>
          <w:rFonts w:ascii="Arial" w:hAnsi="Arial" w:cs="Arial"/>
          <w:i w:val="0"/>
          <w:sz w:val="22"/>
        </w:rPr>
        <w:t>*</w:t>
      </w:r>
      <w:r w:rsidR="0082627D" w:rsidRPr="00BE5369">
        <w:rPr>
          <w:rFonts w:ascii="Arial" w:hAnsi="Arial" w:cs="Arial"/>
          <w:i w:val="0"/>
          <w:sz w:val="22"/>
        </w:rPr>
        <w:t xml:space="preserve"> (tugce.ates@kit.edu)</w:t>
      </w:r>
      <w:r w:rsidR="0082627D" w:rsidRPr="00BE5369">
        <w:rPr>
          <w:rFonts w:ascii="Arial" w:hAnsi="Arial" w:cs="Arial"/>
          <w:i w:val="0"/>
          <w:sz w:val="22"/>
          <w:vertAlign w:val="superscript"/>
        </w:rPr>
        <w:t>a,b</w:t>
      </w:r>
      <w:r w:rsidR="0082627D" w:rsidRPr="00BE5369">
        <w:rPr>
          <w:rFonts w:ascii="Arial" w:hAnsi="Arial" w:cs="Arial"/>
          <w:i w:val="0"/>
          <w:sz w:val="22"/>
        </w:rPr>
        <w:t xml:space="preserve">, </w:t>
      </w:r>
      <w:r w:rsidR="008C69D1" w:rsidRPr="008C69D1">
        <w:rPr>
          <w:rFonts w:ascii="Arial" w:hAnsi="Arial" w:cs="Arial"/>
          <w:i w:val="0"/>
          <w:iCs/>
          <w:sz w:val="22"/>
        </w:rPr>
        <w:t>Anton Neumann (anton.neumann@dlr.de)</w:t>
      </w:r>
      <w:r w:rsidR="008C69D1" w:rsidRPr="008C69D1">
        <w:rPr>
          <w:rFonts w:ascii="Arial" w:hAnsi="Arial" w:cs="Arial"/>
          <w:i w:val="0"/>
          <w:iCs/>
          <w:sz w:val="22"/>
          <w:vertAlign w:val="superscript"/>
        </w:rPr>
        <w:t>a,c</w:t>
      </w:r>
      <w:r w:rsidR="008C69D1" w:rsidRPr="008C69D1">
        <w:rPr>
          <w:rFonts w:ascii="Arial" w:hAnsi="Arial" w:cs="Arial"/>
          <w:i w:val="0"/>
          <w:iCs/>
          <w:sz w:val="22"/>
        </w:rPr>
        <w:t xml:space="preserve">, Timo </w:t>
      </w:r>
      <w:r w:rsidR="00E30850">
        <w:rPr>
          <w:rFonts w:ascii="Arial" w:hAnsi="Arial" w:cs="Arial"/>
          <w:i w:val="0"/>
          <w:iCs/>
          <w:sz w:val="22"/>
        </w:rPr>
        <w:br/>
      </w:r>
      <w:r w:rsidR="008C69D1" w:rsidRPr="008C69D1">
        <w:rPr>
          <w:rFonts w:ascii="Arial" w:hAnsi="Arial" w:cs="Arial"/>
          <w:i w:val="0"/>
          <w:iCs/>
          <w:sz w:val="22"/>
        </w:rPr>
        <w:t>Danner (timo.danner@dlr.de)</w:t>
      </w:r>
      <w:r w:rsidR="008C69D1" w:rsidRPr="008C69D1">
        <w:rPr>
          <w:rFonts w:ascii="Arial" w:hAnsi="Arial" w:cs="Arial"/>
          <w:i w:val="0"/>
          <w:iCs/>
          <w:sz w:val="22"/>
          <w:vertAlign w:val="superscript"/>
        </w:rPr>
        <w:t>a,c</w:t>
      </w:r>
      <w:r w:rsidR="008C69D1" w:rsidRPr="008C69D1">
        <w:rPr>
          <w:rFonts w:ascii="Arial" w:hAnsi="Arial" w:cs="Arial"/>
          <w:i w:val="0"/>
          <w:iCs/>
          <w:sz w:val="22"/>
        </w:rPr>
        <w:t>,</w:t>
      </w:r>
      <w:r w:rsidR="008C69D1" w:rsidRPr="008C69D1">
        <w:rPr>
          <w:rFonts w:ascii="Arial" w:hAnsi="Arial" w:cs="Arial"/>
          <w:i w:val="0"/>
          <w:sz w:val="22"/>
        </w:rPr>
        <w:t xml:space="preserve"> Arnulf Latz (arnulf.latz@dlr.de)</w:t>
      </w:r>
      <w:r w:rsidR="008C69D1" w:rsidRPr="008C69D1">
        <w:rPr>
          <w:rFonts w:ascii="Arial" w:hAnsi="Arial" w:cs="Arial"/>
          <w:i w:val="0"/>
          <w:sz w:val="22"/>
          <w:vertAlign w:val="superscript"/>
        </w:rPr>
        <w:t>a,c</w:t>
      </w:r>
      <w:r w:rsidR="008C69D1" w:rsidRPr="008C69D1">
        <w:rPr>
          <w:rFonts w:ascii="Arial" w:hAnsi="Arial" w:cs="Arial"/>
          <w:i w:val="0"/>
          <w:sz w:val="22"/>
        </w:rPr>
        <w:t>, Maider Zarrabeitia (maider.ipina@kit.edu)</w:t>
      </w:r>
      <w:r w:rsidR="008C69D1" w:rsidRPr="008C69D1">
        <w:rPr>
          <w:rFonts w:ascii="Arial" w:hAnsi="Arial" w:cs="Arial"/>
          <w:i w:val="0"/>
          <w:sz w:val="22"/>
          <w:vertAlign w:val="superscript"/>
        </w:rPr>
        <w:t>a,b</w:t>
      </w:r>
      <w:r w:rsidR="008C69D1" w:rsidRPr="008C69D1">
        <w:rPr>
          <w:rFonts w:ascii="Arial" w:hAnsi="Arial" w:cs="Arial"/>
          <w:i w:val="0"/>
          <w:sz w:val="22"/>
        </w:rPr>
        <w:t>, Dominik Stepien (dominik.stepien@kit.edu)</w:t>
      </w:r>
      <w:r w:rsidR="008C69D1" w:rsidRPr="008C69D1">
        <w:rPr>
          <w:rFonts w:ascii="Arial" w:hAnsi="Arial" w:cs="Arial"/>
          <w:i w:val="0"/>
          <w:sz w:val="22"/>
          <w:vertAlign w:val="superscript"/>
        </w:rPr>
        <w:t>a,b</w:t>
      </w:r>
      <w:r w:rsidR="008C69D1" w:rsidRPr="008C69D1">
        <w:rPr>
          <w:rFonts w:ascii="Arial" w:hAnsi="Arial" w:cs="Arial"/>
          <w:i w:val="0"/>
          <w:sz w:val="22"/>
        </w:rPr>
        <w:t xml:space="preserve">, Alberto Varzi </w:t>
      </w:r>
      <w:r w:rsidR="00E30850">
        <w:rPr>
          <w:rFonts w:ascii="Arial" w:hAnsi="Arial" w:cs="Arial"/>
          <w:i w:val="0"/>
          <w:sz w:val="22"/>
        </w:rPr>
        <w:br/>
      </w:r>
      <w:r w:rsidR="008C69D1" w:rsidRPr="008C69D1">
        <w:rPr>
          <w:rFonts w:ascii="Arial" w:hAnsi="Arial" w:cs="Arial"/>
          <w:i w:val="0"/>
          <w:sz w:val="22"/>
        </w:rPr>
        <w:t>(alberto.varzi@kit.edu)</w:t>
      </w:r>
      <w:r w:rsidR="008C69D1" w:rsidRPr="008C69D1">
        <w:rPr>
          <w:rFonts w:ascii="Arial" w:hAnsi="Arial" w:cs="Arial"/>
          <w:i w:val="0"/>
          <w:sz w:val="22"/>
          <w:vertAlign w:val="superscript"/>
        </w:rPr>
        <w:t>a,b</w:t>
      </w:r>
      <w:r w:rsidR="008C69D1" w:rsidRPr="008C69D1">
        <w:rPr>
          <w:rFonts w:ascii="Arial" w:hAnsi="Arial" w:cs="Arial"/>
          <w:i w:val="0"/>
          <w:sz w:val="22"/>
        </w:rPr>
        <w:t>, Stefano Passerini (stefano.passerini@kit.edu)</w:t>
      </w:r>
      <w:r w:rsidR="008C69D1" w:rsidRPr="008C69D1">
        <w:rPr>
          <w:rFonts w:ascii="Arial" w:hAnsi="Arial" w:cs="Arial"/>
          <w:i w:val="0"/>
          <w:sz w:val="22"/>
          <w:vertAlign w:val="superscript"/>
        </w:rPr>
        <w:t>a,b</w:t>
      </w:r>
    </w:p>
    <w:p w:rsidR="00A67A27" w:rsidRPr="00BE5369" w:rsidRDefault="00A67A27" w:rsidP="0082627D">
      <w:pPr>
        <w:pStyle w:val="NoSpacing"/>
        <w:jc w:val="center"/>
        <w:rPr>
          <w:rFonts w:ascii="Arial" w:hAnsi="Arial" w:cs="Arial"/>
          <w:i w:val="0"/>
          <w:sz w:val="22"/>
          <w:vertAlign w:val="superscript"/>
        </w:rPr>
      </w:pPr>
    </w:p>
    <w:p w:rsidR="0082627D" w:rsidRPr="00BE5369" w:rsidRDefault="0082627D" w:rsidP="0082627D">
      <w:pPr>
        <w:pStyle w:val="NoSpacing"/>
        <w:jc w:val="center"/>
        <w:rPr>
          <w:rFonts w:ascii="Arial" w:hAnsi="Arial" w:cs="Arial"/>
          <w:i w:val="0"/>
          <w:sz w:val="22"/>
          <w:lang w:val="de-DE"/>
        </w:rPr>
      </w:pPr>
      <w:r w:rsidRPr="00BE5369">
        <w:rPr>
          <w:rFonts w:ascii="Arial" w:hAnsi="Arial" w:cs="Arial"/>
          <w:i w:val="0"/>
          <w:sz w:val="22"/>
          <w:vertAlign w:val="superscript"/>
          <w:lang w:val="de-DE"/>
        </w:rPr>
        <w:t>a</w:t>
      </w:r>
      <w:r w:rsidRPr="00BE5369">
        <w:rPr>
          <w:rFonts w:ascii="Arial" w:hAnsi="Arial" w:cs="Arial"/>
          <w:i w:val="0"/>
          <w:sz w:val="22"/>
          <w:lang w:val="de-DE"/>
        </w:rPr>
        <w:t>Helmholtz Institute Ulm (HIU), Helmholtzstrasse 11, 89081 Ulm, Germany</w:t>
      </w:r>
    </w:p>
    <w:p w:rsidR="0082627D" w:rsidRDefault="0082627D" w:rsidP="0082627D">
      <w:pPr>
        <w:pStyle w:val="NoSpacing"/>
        <w:jc w:val="center"/>
        <w:rPr>
          <w:rFonts w:ascii="Arial" w:hAnsi="Arial" w:cs="Arial"/>
          <w:i w:val="0"/>
          <w:sz w:val="22"/>
          <w:lang w:val="en-US"/>
        </w:rPr>
      </w:pPr>
      <w:r w:rsidRPr="004F41FF">
        <w:rPr>
          <w:rFonts w:ascii="Arial" w:hAnsi="Arial" w:cs="Arial"/>
          <w:i w:val="0"/>
          <w:sz w:val="22"/>
          <w:vertAlign w:val="superscript"/>
          <w:lang w:val="en-US"/>
        </w:rPr>
        <w:t>b</w:t>
      </w:r>
      <w:r w:rsidRPr="004F41FF">
        <w:rPr>
          <w:rFonts w:ascii="Arial" w:hAnsi="Arial" w:cs="Arial"/>
          <w:i w:val="0"/>
          <w:sz w:val="22"/>
          <w:lang w:val="en-US"/>
        </w:rPr>
        <w:t>Karlsruhe Institute of Technology (KIT), P.O. Box 3640, 76021 Karlsruhe, Germany</w:t>
      </w:r>
    </w:p>
    <w:p w:rsidR="008C69D1" w:rsidRPr="008C69D1" w:rsidRDefault="008C69D1" w:rsidP="008C69D1">
      <w:pPr>
        <w:pStyle w:val="NoSpacing"/>
        <w:jc w:val="center"/>
        <w:rPr>
          <w:rFonts w:ascii="Arial" w:hAnsi="Arial" w:cs="Arial"/>
          <w:i w:val="0"/>
          <w:sz w:val="22"/>
        </w:rPr>
      </w:pPr>
      <w:r w:rsidRPr="008C69D1">
        <w:rPr>
          <w:rFonts w:ascii="Arial" w:hAnsi="Arial" w:cs="Arial"/>
          <w:i w:val="0"/>
          <w:sz w:val="22"/>
          <w:vertAlign w:val="superscript"/>
          <w:lang w:val="en-US"/>
        </w:rPr>
        <w:t>c</w:t>
      </w:r>
      <w:r w:rsidRPr="008C69D1">
        <w:rPr>
          <w:rFonts w:ascii="Arial" w:hAnsi="Arial" w:cs="Arial"/>
          <w:i w:val="0"/>
          <w:sz w:val="22"/>
          <w:lang w:val="en-US"/>
        </w:rPr>
        <w:t>German</w:t>
      </w:r>
      <w:r w:rsidRPr="008C69D1">
        <w:rPr>
          <w:rFonts w:ascii="Arial" w:hAnsi="Arial" w:cs="Arial"/>
          <w:i w:val="0"/>
          <w:sz w:val="22"/>
        </w:rPr>
        <w:t> </w:t>
      </w:r>
      <w:r w:rsidRPr="008C69D1">
        <w:rPr>
          <w:rFonts w:ascii="Arial" w:hAnsi="Arial" w:cs="Arial"/>
          <w:i w:val="0"/>
          <w:sz w:val="22"/>
          <w:lang w:val="en-US"/>
        </w:rPr>
        <w:t>Aerospace</w:t>
      </w:r>
      <w:r w:rsidRPr="008C69D1">
        <w:rPr>
          <w:rFonts w:ascii="Arial" w:hAnsi="Arial" w:cs="Arial"/>
          <w:i w:val="0"/>
          <w:sz w:val="22"/>
        </w:rPr>
        <w:t> </w:t>
      </w:r>
      <w:r w:rsidRPr="008C69D1">
        <w:rPr>
          <w:rFonts w:ascii="Arial" w:hAnsi="Arial" w:cs="Arial"/>
          <w:i w:val="0"/>
          <w:sz w:val="22"/>
          <w:lang w:val="en-US"/>
        </w:rPr>
        <w:t>Center</w:t>
      </w:r>
      <w:r w:rsidRPr="008C69D1">
        <w:rPr>
          <w:rFonts w:ascii="Arial" w:hAnsi="Arial" w:cs="Arial"/>
          <w:i w:val="0"/>
          <w:sz w:val="22"/>
        </w:rPr>
        <w:t> </w:t>
      </w:r>
      <w:r w:rsidRPr="008C69D1">
        <w:rPr>
          <w:rFonts w:ascii="Arial" w:hAnsi="Arial" w:cs="Arial"/>
          <w:i w:val="0"/>
          <w:sz w:val="22"/>
          <w:lang w:val="en-US"/>
        </w:rPr>
        <w:t>(DLR),</w:t>
      </w:r>
      <w:r w:rsidRPr="008C69D1">
        <w:rPr>
          <w:rFonts w:ascii="Arial" w:hAnsi="Arial" w:cs="Arial"/>
          <w:i w:val="0"/>
          <w:sz w:val="22"/>
        </w:rPr>
        <w:t> </w:t>
      </w:r>
      <w:r w:rsidRPr="008C69D1">
        <w:rPr>
          <w:rFonts w:ascii="Arial" w:hAnsi="Arial" w:cs="Arial"/>
          <w:i w:val="0"/>
          <w:sz w:val="22"/>
          <w:lang w:val="en-US"/>
        </w:rPr>
        <w:t>Institute</w:t>
      </w:r>
      <w:r w:rsidRPr="008C69D1">
        <w:rPr>
          <w:rFonts w:ascii="Arial" w:hAnsi="Arial" w:cs="Arial"/>
          <w:i w:val="0"/>
          <w:sz w:val="22"/>
        </w:rPr>
        <w:t> </w:t>
      </w:r>
      <w:r w:rsidRPr="008C69D1">
        <w:rPr>
          <w:rFonts w:ascii="Arial" w:hAnsi="Arial" w:cs="Arial"/>
          <w:i w:val="0"/>
          <w:sz w:val="22"/>
          <w:lang w:val="en-US"/>
        </w:rPr>
        <w:t>of</w:t>
      </w:r>
      <w:r w:rsidRPr="008C69D1">
        <w:rPr>
          <w:rFonts w:ascii="Arial" w:hAnsi="Arial" w:cs="Arial"/>
          <w:i w:val="0"/>
          <w:sz w:val="22"/>
        </w:rPr>
        <w:t> </w:t>
      </w:r>
      <w:r w:rsidRPr="008C69D1">
        <w:rPr>
          <w:rFonts w:ascii="Arial" w:hAnsi="Arial" w:cs="Arial"/>
          <w:i w:val="0"/>
          <w:sz w:val="22"/>
          <w:lang w:val="en-US"/>
        </w:rPr>
        <w:t>Engineering</w:t>
      </w:r>
      <w:r w:rsidRPr="008C69D1">
        <w:rPr>
          <w:rFonts w:ascii="Arial" w:hAnsi="Arial" w:cs="Arial"/>
          <w:i w:val="0"/>
          <w:sz w:val="22"/>
        </w:rPr>
        <w:t> </w:t>
      </w:r>
      <w:r w:rsidRPr="008C69D1">
        <w:rPr>
          <w:rFonts w:ascii="Arial" w:hAnsi="Arial" w:cs="Arial"/>
          <w:i w:val="0"/>
          <w:sz w:val="22"/>
          <w:lang w:val="en-US"/>
        </w:rPr>
        <w:t>Thermodynamics</w:t>
      </w:r>
      <w:r w:rsidRPr="008C69D1">
        <w:rPr>
          <w:rFonts w:ascii="Arial" w:hAnsi="Arial" w:cs="Arial"/>
          <w:i w:val="0"/>
          <w:sz w:val="22"/>
        </w:rPr>
        <w:t> </w:t>
      </w:r>
      <w:r w:rsidRPr="008C69D1">
        <w:rPr>
          <w:rFonts w:ascii="Arial" w:hAnsi="Arial" w:cs="Arial"/>
          <w:i w:val="0"/>
          <w:sz w:val="22"/>
          <w:lang w:val="en-US"/>
        </w:rPr>
        <w:t>Pfaenwaldring</w:t>
      </w:r>
      <w:r w:rsidRPr="008C69D1">
        <w:rPr>
          <w:rFonts w:ascii="Arial" w:hAnsi="Arial" w:cs="Arial"/>
          <w:i w:val="0"/>
          <w:sz w:val="22"/>
        </w:rPr>
        <w:t> </w:t>
      </w:r>
      <w:r w:rsidRPr="008C69D1">
        <w:rPr>
          <w:rFonts w:ascii="Arial" w:hAnsi="Arial" w:cs="Arial"/>
          <w:i w:val="0"/>
          <w:sz w:val="22"/>
          <w:lang w:val="en-US"/>
        </w:rPr>
        <w:t>38-40,</w:t>
      </w:r>
      <w:r w:rsidRPr="008C69D1">
        <w:rPr>
          <w:rFonts w:ascii="Arial" w:hAnsi="Arial" w:cs="Arial"/>
          <w:i w:val="0"/>
          <w:sz w:val="22"/>
        </w:rPr>
        <w:t> </w:t>
      </w:r>
      <w:r w:rsidRPr="008C69D1">
        <w:rPr>
          <w:rFonts w:ascii="Arial" w:hAnsi="Arial" w:cs="Arial"/>
          <w:i w:val="0"/>
          <w:sz w:val="22"/>
          <w:lang w:val="en-US"/>
        </w:rPr>
        <w:t>70569</w:t>
      </w:r>
      <w:r w:rsidRPr="008C69D1">
        <w:rPr>
          <w:rFonts w:ascii="Arial" w:hAnsi="Arial" w:cs="Arial"/>
          <w:i w:val="0"/>
          <w:sz w:val="22"/>
        </w:rPr>
        <w:t> </w:t>
      </w:r>
      <w:r w:rsidRPr="008C69D1">
        <w:rPr>
          <w:rFonts w:ascii="Arial" w:hAnsi="Arial" w:cs="Arial"/>
          <w:i w:val="0"/>
          <w:sz w:val="22"/>
          <w:lang w:val="en-US"/>
        </w:rPr>
        <w:t>Stuttgart,</w:t>
      </w:r>
      <w:r w:rsidRPr="008C69D1">
        <w:rPr>
          <w:rFonts w:ascii="Arial" w:hAnsi="Arial" w:cs="Arial"/>
          <w:i w:val="0"/>
          <w:sz w:val="22"/>
        </w:rPr>
        <w:t> </w:t>
      </w:r>
      <w:r w:rsidRPr="008C69D1">
        <w:rPr>
          <w:rFonts w:ascii="Arial" w:hAnsi="Arial" w:cs="Arial"/>
          <w:i w:val="0"/>
          <w:sz w:val="22"/>
          <w:lang w:val="en-US"/>
        </w:rPr>
        <w:t>Germany</w:t>
      </w:r>
      <w:r w:rsidRPr="008C69D1">
        <w:rPr>
          <w:rFonts w:ascii="Arial" w:hAnsi="Arial" w:cs="Arial"/>
          <w:i w:val="0"/>
          <w:sz w:val="22"/>
        </w:rPr>
        <w:t xml:space="preserve"> </w:t>
      </w:r>
    </w:p>
    <w:p w:rsidR="008C69D1" w:rsidRPr="004F41FF" w:rsidRDefault="008C69D1" w:rsidP="0082627D">
      <w:pPr>
        <w:pStyle w:val="NoSpacing"/>
        <w:jc w:val="center"/>
        <w:rPr>
          <w:rFonts w:ascii="Arial" w:hAnsi="Arial" w:cs="Arial"/>
          <w:i w:val="0"/>
          <w:sz w:val="22"/>
          <w:lang w:val="en-US"/>
        </w:rPr>
      </w:pPr>
    </w:p>
    <w:p w:rsidR="007E7649" w:rsidRPr="004F41FF" w:rsidRDefault="007E7649" w:rsidP="007E6075">
      <w:pPr>
        <w:pStyle w:val="NoSpacing"/>
        <w:rPr>
          <w:rFonts w:ascii="Arial" w:hAnsi="Arial" w:cs="Arial"/>
          <w:i w:val="0"/>
        </w:rPr>
      </w:pPr>
    </w:p>
    <w:p w:rsidR="008C69D1" w:rsidRDefault="008C69D1" w:rsidP="004F41FF">
      <w:pPr>
        <w:tabs>
          <w:tab w:val="left" w:pos="2775"/>
        </w:tabs>
        <w:rPr>
          <w:rFonts w:ascii="Arial" w:hAnsi="Arial" w:cs="Arial"/>
          <w:sz w:val="22"/>
        </w:rPr>
      </w:pPr>
      <w:r w:rsidRPr="008C69D1">
        <w:rPr>
          <w:rFonts w:ascii="Arial" w:hAnsi="Arial" w:cs="Arial"/>
          <w:sz w:val="22"/>
        </w:rPr>
        <w:t xml:space="preserve">Since the number of electric vehicles </w:t>
      </w:r>
      <w:r w:rsidR="00E30850">
        <w:rPr>
          <w:rFonts w:ascii="Arial" w:hAnsi="Arial" w:cs="Arial"/>
          <w:sz w:val="22"/>
        </w:rPr>
        <w:t xml:space="preserve">(EVs) </w:t>
      </w:r>
      <w:r w:rsidRPr="008C69D1">
        <w:rPr>
          <w:rFonts w:ascii="Arial" w:hAnsi="Arial" w:cs="Arial"/>
          <w:sz w:val="22"/>
        </w:rPr>
        <w:t>is growing rapidly, the interest in developing an appropriate battery is immense. The state-of-the-art lithium-ion battery (LIB) proved to be an efficient energy storage system, so far, however, crucial safety risks arise from the flammable liquid electrolyte. In this context, the focus nowadays is set on solid-state Li metal batteries (SSBs) with nonflammable solid electrolytes (SEs), which are potentially safer and offer higher energy and power densities.</w:t>
      </w:r>
      <w:r w:rsidRPr="004F41FF">
        <w:rPr>
          <w:rFonts w:ascii="Arial" w:hAnsi="Arial" w:cs="Arial"/>
          <w:sz w:val="22"/>
        </w:rPr>
        <w:fldChar w:fldCharType="begin" w:fldLock="1"/>
      </w:r>
      <w:r>
        <w:rPr>
          <w:rFonts w:ascii="Arial" w:hAnsi="Arial" w:cs="Arial"/>
          <w:sz w:val="22"/>
        </w:rPr>
        <w:instrText>ADDIN CSL_CITATION { "citationItems" : [ { "id" : "ITEM-1", "itemData" : { "ISSN" : "2050-7496", "abstract" : "The scientific community is continuously committed to the search of new, high energy electrochemical storage devices. In this scenario, lithium batteries, due to the very large electrochemical energy content, appear to be a highly appealing choice. Unfortunately, the use of lithium metal as anode may lead to some safety hazard due to the uneven deposition upon charge, resulting in dendrites growth with an eventual shorting of the cell. This issue may be successfully addressed by using intrinsically safer electrolytes capable of establishing a physical barrier at the electrode interface. The most promising are solid electrolytes, either polymeric or inorganic. The main purpose of this perspective article is to describe the present status of the worldwide research on these electrolyte materials together with a critical discussion of their transport properties and compatibility with metallic lithium, hoping to provide some general guidelines for the development of innovative and safe lithium metal batteries.", "author" : [ { "dropping-particle" : "", "family" : "Varzi", "given" : "Alberto", "non-dropping-particle" : "", "parse-names" : false, "suffix" : "" }, { "dropping-particle" : "", "family" : "Raccichini", "given" : "Rinaldo", "non-dropping-particle" : "", "parse-names" : false, "suffix" : "" }, { "dropping-particle" : "", "family" : "Passerini", "given" : "Stefano", "non-dropping-particle" : "", "parse-names" : false, "suffix" : "" }, { "dropping-particle" : "", "family" : "Scrosati", "given" : "Bruno", "non-dropping-particle" : "", "parse-names" : false, "suffix" : "" } ], "container-title" : "Journal of Materials Chemistry A", "id" : "ITEM-1", "issued" : { "date-parts" : [ [ "2016" ] ] }, "page" : "1-9", "publisher" : "Royal Society of Chemistry", "title" : "Challenges and prospects on the role of solid electrolytes for the revitalization of lithium metal batteries", "type" : "article-journal", "volume" : "00" }, "uris" : [ "http://www.mendeley.com/documents/?uuid=759f7f86-f339-4e3b-8646-3a6e56c3a5c2" ] }, { "id" : "ITEM-2", "itemData" : { "author" : [ { "dropping-particle" : "", "family" : "Janek", "given" : "J\u00fcrgen", "non-dropping-particle" : "", "parse-names" : false, "suffix" : "" }, { "dropping-particle" : "", "family" : "Zeier", "given" : "Wolfgang G", "non-dropping-particle" : "", "parse-names" : false, "suffix" : "" } ], "container-title" : "Nature energy", "id" : "ITEM-2", "issued" : { "date-parts" : [ [ "2016" ] ] }, "page" : "1-4", "title" : "A solid future for battery development", "type" : "article-journal", "volume" : "1" }, "uris" : [ "http://www.mendeley.com/documents/?uuid=42a2cae9-f70a-4347-9d95-efa3d7766c1e" ] } ], "mendeley" : { "formattedCitation" : "&lt;sup&gt;[1,2]&lt;/sup&gt;", "plainTextFormattedCitation" : "[1,2]", "previouslyFormattedCitation" : "&lt;sup&gt;[1,2]&lt;/sup&gt;" }, "properties" : { "noteIndex" : 0 }, "schema" : "https://github.com/citation-style-language/schema/raw/master/csl-citation.json" }</w:instrText>
      </w:r>
      <w:r w:rsidRPr="004F41FF">
        <w:rPr>
          <w:rFonts w:ascii="Arial" w:hAnsi="Arial" w:cs="Arial"/>
          <w:sz w:val="22"/>
        </w:rPr>
        <w:fldChar w:fldCharType="separate"/>
      </w:r>
      <w:r w:rsidRPr="004F41FF">
        <w:rPr>
          <w:rFonts w:ascii="Arial" w:hAnsi="Arial" w:cs="Arial"/>
          <w:noProof/>
          <w:sz w:val="22"/>
        </w:rPr>
        <w:t>[1,2]</w:t>
      </w:r>
      <w:r w:rsidRPr="004F41FF">
        <w:rPr>
          <w:rFonts w:ascii="Arial" w:hAnsi="Arial" w:cs="Arial"/>
          <w:sz w:val="22"/>
        </w:rPr>
        <w:fldChar w:fldCharType="end"/>
      </w:r>
      <w:r w:rsidRPr="008C69D1">
        <w:rPr>
          <w:rFonts w:ascii="Arial" w:hAnsi="Arial" w:cs="Arial"/>
          <w:sz w:val="22"/>
        </w:rPr>
        <w:t xml:space="preserve"> </w:t>
      </w:r>
      <w:r w:rsidR="00E30850">
        <w:rPr>
          <w:rFonts w:ascii="Arial" w:hAnsi="Arial" w:cs="Arial"/>
          <w:sz w:val="22"/>
        </w:rPr>
        <w:t xml:space="preserve">For </w:t>
      </w:r>
      <w:r w:rsidR="00EC4FCB" w:rsidRPr="00EC4FCB">
        <w:rPr>
          <w:rFonts w:ascii="Arial" w:hAnsi="Arial" w:cs="Arial"/>
          <w:sz w:val="22"/>
        </w:rPr>
        <w:t>SSBs, polymeric and inorganic solid electrolytes are of interest as well as a combination of both resulting in flexible hybrid solid electrolytes.</w:t>
      </w:r>
      <w:r w:rsidR="00EC4FCB" w:rsidRPr="00EC4FCB">
        <w:rPr>
          <w:rFonts w:ascii="Arial" w:hAnsi="Arial" w:cs="Arial"/>
          <w:sz w:val="22"/>
        </w:rPr>
        <w:fldChar w:fldCharType="begin" w:fldLock="1"/>
      </w:r>
      <w:r w:rsidR="00EC4FCB" w:rsidRPr="00EC4FCB">
        <w:rPr>
          <w:rFonts w:ascii="Arial" w:hAnsi="Arial" w:cs="Arial"/>
          <w:sz w:val="22"/>
        </w:rPr>
        <w:instrText>ADDIN CSL_CITATION { "citationItems" : [ { "id" : "ITEM-1", "itemData" : { "ISSN" : "2050-7496", "abstract" : "The scientific community is continuously committed to the search of new, high energy electrochemical storage devices. In this scenario, lithium batteries, due to the very large electrochemical energy content, appear to be a highly appealing choice. Unfortunately, the use of lithium metal as anode may lead to some safety hazard due to the uneven deposition upon charge, resulting in dendrites growth with an eventual shorting of the cell. This issue may be successfully addressed by using intrinsically safer electrolytes capable of establishing a physical barrier at the electrode interface. The most promising are solid electrolytes, either polymeric or inorganic. The main purpose of this perspective article is to describe the present status of the worldwide research on these electrolyte materials together with a critical discussion of their transport properties and compatibility with metallic lithium, hoping to provide some general guidelines for the development of innovative and safe lithium metal batteries.", "author" : [ { "dropping-particle" : "", "family" : "Varzi", "given" : "Alberto", "non-dropping-particle" : "", "parse-names" : false, "suffix" : "" }, { "dropping-particle" : "", "family" : "Raccichini", "given" : "Rinaldo", "non-dropping-particle" : "", "parse-names" : false, "suffix" : "" }, { "dropping-particle" : "", "family" : "Passerini", "given" : "Stefano", "non-dropping-particle" : "", "parse-names" : false, "suffix" : "" }, { "dropping-particle" : "", "family" : "Scrosati", "given" : "Bruno", "non-dropping-particle" : "", "parse-names" : false, "suffix" : "" } ], "container-title" : "Journal of Materials Chemistry A", "id" : "ITEM-1", "issued" : { "date-parts" : [ [ "2016" ] ] }, "page" : "1-9", "publisher" : "Royal Society of Chemistry", "title" : "Challenges and prospects on the role of solid electrolytes for the revitalization of lithium metal batteries", "type" : "article-journal", "volume" : "00" }, "uris" : [ "http://www.mendeley.com/documents/?uuid=759f7f86-f339-4e3b-8646-3a6e56c3a5c2" ] }, { "id" : "ITEM-2", "itemData" : { "DOI" : "10.1016/j.jpowsour.2017.04.014", "ISBN" : "1477-9226", "ISSN" : "03787753", "PMID" : "24162096", "abstract" : "The preparation of hybrid ceramic-polymer electrolytes, consisting of 70?wt% of Li+ cation conducting Li7La3Zr2O12 (LLZO) and 30?wt% of P(EO)15LiTFSI polymer electrolyte, through a solvent-free procedure is reported. The LLZO-P(EO)15LiTFSI hybrid electrolytes exhibit remarkable improvement in terms of flexibility and processability with respect to pure LLZO ceramic electrolytes. The physicochemical and electrochemical investigation shows the effect of LLZO annealing, resulting in ion conduction gain. However, slow charge transfer at the ceramic-polymer interface is also observed especially at higher temperatures. Nevertheless, improved compatibility with lithium metal anodes and good Li stripping/plating behavior are exhibited by the LLZO-P(EO)15LiTFSI hybrid electrolytes with respect to P(EO)15LiTFSI.", "author" : [ { "dropping-particle" : "", "family" : "Keller", "given" : "Marlou", "non-dropping-particle" : "", "parse-names" : false, "suffix" : "" }, { "dropping-particle" : "", "family" : "Appetecchi", "given" : "Giovanni Battista", "non-dropping-particle" : "", "parse-names" : false, "suffix" : "" }, { "dropping-particle" : "", "family" : "Kim", "given" : "Guk Tae", "non-dropping-particle" : "", "parse-names" : false, "suffix" : "" }, { "dropping-particle" : "", "family" : "Sharova", "given" : "Varvara", "non-dropping-particle" : "", "parse-names" : false, "suffix" : "" }, { "dropping-particle" : "", "family" : "Schneider", "given" : "Meike", "non-dropping-particle" : "", "parse-names" : false, "suffix" : "" }, { "dropping-particle" : "", "family" : "Schuhmacher", "given" : "J?rg", "non-dropping-particle" : "", "parse-names" : false, "suffix" : "" }, { "dropping-particle" : "", "family" : "Roters", "given" : "Andreas", "non-dropping-particle" : "", "parse-names" : false, "suffix" : "" }, { "dropping-particle" : "", "family" : "Passerini", "given" : "Stefano", "non-dropping-particle" : "", "parse-names" : false, "suffix" : "" } ], "container-title" : "Journal of Power Sources", "id" : "ITEM-2", "issued" : { "date-parts" : [ [ "2017" ] ] }, "page" : "287-297", "title" : "Electrochemical performance of a solvent-free hybrid ceramic-polymer electrolyte based on Li7La3Zr2O12 in P(EO)15LiTFSI", "type" : "article-journal", "volume" : "353" }, "uris" : [ "http://www.mendeley.com/documents/?uuid=661bda97-a0d7-4b59-b301-66fbbdb3d994" ] }, { "id" : "ITEM-3", "itemData" : { "DOI" : "10.1016/j.jpowsour.2017.12.037", "ISSN" : "03787753", "abstract" : "Ceramic electrolytes are prepared through sintering processes which are carried out at high temperatures and require prolonged operating times, resulting unwelcome in industrial applications. We report a physicochemical characterization on hybrid, sodium conducting, electrolyte systems obtained by coating NASICON ceramic powders with the N-butyl-N-methylpyrrolidinium bis(trifluoromethanesulfonyl)imide ionic liquid. The goal is to realize a ceramic-IL interface with improved sodium mobility, aiming to obtain a solid electrolyte with high ion transport properties but avoiding sintering thermal treatment. The purpose of the present work, however, is showing how simply combining NASICON powder and Py14TFSI does not lead to any synergic effect on the resulting hybrid electrolyte, evidencing that an average functionalization of the ceramic powder surface and/or ionic liquid is needed. Also, the processing conditions for preparing the hybrid samples are found to affect their ion transport properties.", "author" : [ { "dropping-particle" : "", "family" : "la Torre-Gamarra", "given" : "Carmen", "non-dropping-particle" : "de", "parse-names" : false, "suffix" : "" }, { "dropping-particle" : "", "family" : "Appetecchi", "given" : "Giovanni Battista", "non-dropping-particle" : "", "parse-names" : false, "suffix" : "" }, { "dropping-particle" : "", "family" : "Ulissi", "given" : "Ulderico", "non-dropping-particle" : "", "parse-names" : false, "suffix" : "" }, { "dropping-particle" : "", "family" : "Varzi", "given" : "Alberto", "non-dropping-particle" : "", "parse-names" : false, "suffix" : "" }, { "dropping-particle" : "", "family" : "Varez", "given" : "Alejandro", "non-dropping-particle" : "", "parse-names" : false, "suffix" : "" }, { "dropping-particle" : "", "family" : "Passerini", "given" : "Stefano", "non-dropping-particle" : "", "parse-names" : false, "suffix" : "" } ], "container-title" : "Journal of Power Sources", "id" : "ITEM-3", "issue" : "September", "issued" : { "date-parts" : [ [ "2017" ] ] }, "page" : "0-1", "publisher" : "Elsevier", "title" : "Na3Si2Y0.16Zr1.84PO12-ionic liquid hybrid electrolytes: An approach for realizing solid-state sodium-ion batteries?", "type" : "article-journal" }, "uris" : [ "http://www.mendeley.com/documents/?uuid=8495ac39-8c16-4d9e-b047-3b333ed14816" ] } ], "mendeley" : { "formattedCitation" : "&lt;sup&gt;[1,3,4]&lt;/sup&gt;", "plainTextFormattedCitation" : "[1,3,4]", "previouslyFormattedCitation" : "&lt;sup&gt;[1,3,4]&lt;/sup&gt;" }, "properties" : { "noteIndex" : 0 }, "schema" : "https://github.com/citation-style-language/schema/raw/master/csl-citation.json" }</w:instrText>
      </w:r>
      <w:r w:rsidR="00EC4FCB" w:rsidRPr="00EC4FCB">
        <w:rPr>
          <w:rFonts w:ascii="Arial" w:hAnsi="Arial" w:cs="Arial"/>
          <w:sz w:val="22"/>
        </w:rPr>
        <w:fldChar w:fldCharType="separate"/>
      </w:r>
      <w:r w:rsidR="00EC4FCB" w:rsidRPr="00EC4FCB">
        <w:rPr>
          <w:rFonts w:ascii="Arial" w:hAnsi="Arial" w:cs="Arial"/>
          <w:noProof/>
          <w:sz w:val="22"/>
        </w:rPr>
        <w:t>[1,3,4]</w:t>
      </w:r>
      <w:r w:rsidR="00EC4FCB" w:rsidRPr="00EC4FCB">
        <w:rPr>
          <w:rFonts w:ascii="Arial" w:hAnsi="Arial" w:cs="Arial"/>
          <w:sz w:val="22"/>
        </w:rPr>
        <w:fldChar w:fldCharType="end"/>
      </w:r>
      <w:r w:rsidR="00EC4FCB" w:rsidRPr="00EC4FCB">
        <w:rPr>
          <w:rFonts w:ascii="Arial" w:hAnsi="Arial" w:cs="Arial"/>
          <w:sz w:val="22"/>
        </w:rPr>
        <w:t xml:space="preserve"> This work concentrates on the use of inorganic electrolytes. </w:t>
      </w:r>
      <w:r w:rsidR="00E30850" w:rsidRPr="008C69D1">
        <w:rPr>
          <w:rFonts w:ascii="Arial" w:hAnsi="Arial" w:cs="Arial"/>
          <w:sz w:val="22"/>
        </w:rPr>
        <w:t>Amon</w:t>
      </w:r>
      <w:r w:rsidR="00E30850">
        <w:rPr>
          <w:rFonts w:ascii="Arial" w:hAnsi="Arial" w:cs="Arial"/>
          <w:sz w:val="22"/>
        </w:rPr>
        <w:t>g the classes of SE available, s</w:t>
      </w:r>
      <w:r w:rsidR="00E30850" w:rsidRPr="008C69D1">
        <w:rPr>
          <w:rFonts w:ascii="Arial" w:hAnsi="Arial" w:cs="Arial"/>
          <w:sz w:val="22"/>
        </w:rPr>
        <w:t>ulfides are particularly promising</w:t>
      </w:r>
      <w:r w:rsidR="00E30850">
        <w:rPr>
          <w:rFonts w:ascii="Arial" w:hAnsi="Arial" w:cs="Arial"/>
          <w:sz w:val="22"/>
        </w:rPr>
        <w:t xml:space="preserve">, </w:t>
      </w:r>
      <w:r w:rsidR="00EC4FCB" w:rsidRPr="00EC4FCB">
        <w:rPr>
          <w:rFonts w:ascii="Arial" w:hAnsi="Arial" w:cs="Arial"/>
          <w:sz w:val="22"/>
        </w:rPr>
        <w:t xml:space="preserve">such as lithium thiophosphate (LPS) </w:t>
      </w:r>
      <w:r w:rsidR="00E30850">
        <w:rPr>
          <w:rFonts w:ascii="Arial" w:hAnsi="Arial" w:cs="Arial"/>
          <w:sz w:val="22"/>
        </w:rPr>
        <w:t>having</w:t>
      </w:r>
      <w:r w:rsidR="00EC4FCB" w:rsidRPr="00EC4FCB">
        <w:rPr>
          <w:rFonts w:ascii="Arial" w:hAnsi="Arial" w:cs="Arial"/>
          <w:sz w:val="22"/>
        </w:rPr>
        <w:t xml:space="preserve"> a comparably low density, and thus can increase the cell energy more efficiently.</w:t>
      </w:r>
      <w:r w:rsidR="00EC4FCB" w:rsidRPr="00EC4FCB">
        <w:rPr>
          <w:rFonts w:ascii="Arial" w:hAnsi="Arial" w:cs="Arial"/>
          <w:sz w:val="22"/>
        </w:rPr>
        <w:fldChar w:fldCharType="begin" w:fldLock="1"/>
      </w:r>
      <w:r w:rsidR="00EC4FCB" w:rsidRPr="00EC4FCB">
        <w:rPr>
          <w:rFonts w:ascii="Arial" w:hAnsi="Arial" w:cs="Arial"/>
          <w:sz w:val="22"/>
        </w:rPr>
        <w:instrText>ADDIN CSL_CITATION { "citationItems" : [ { "id" : "ITEM-1", "itemData" : { "ISBN" : "1000801736107", "ISSN" : "14328488", "abstract" : "Since their market introduction in 1991, lithium ion batteries (LIBs) have developed evolutionary in terms of their specific energies (Wh/kg) and energy densities (Wh/L). Currently, they do not only dominate the small format battery market for portable electronic devices, but have also been successfully implemented as the technology of choice for electromobility as well as for stationary energy storage. Besides LIBs, a variety of different technologically promising battery concepts exists that, depending on the respective tech-nology, might also be suitable for various application pur-poses. These systems of the Bnext generation,^ the so-called post-lithium ion batteries (PLIBs), such as metal/sulfur, metal/ air or metal/oxygen, or Bpost-lithium technologies^ (systems without Li), which are based on alternative single (Na + , K +) or multivalent ions (Mg 2+ , Ca 2+), are currently being studied intensively. From today's point of view, it seems quite clear that there will not only be a single technology for all applica-tions (technology monopoly), but different battery systems, which can be especially suitable or combined for a particular application (technology diversity). In this review, we place the lithium ion technology in a historical context and give insights into the battery technology diversity that evolved during the past decades and which will, in turn, influence future research and development.", "author" : [ { "dropping-particle" : "", "family" : "Placke", "given" : "Tobias", "non-dropping-particle" : "", "parse-names" : false, "suffix" : "" }, { "dropping-particle" : "", "family" : "Kloepsch", "given" : "Richard", "non-dropping-particle" : "", "parse-names" : false, "suffix" : "" }, { "dropping-particle" : "", "family" : "D\u00fchnen", "given" : "Simon", "non-dropping-particle" : "", "parse-names" : false, "suffix" : "" }, { "dropping-particle" : "", "family" : "Winter", "given" : "Martin", "non-dropping-particle" : "", "parse-names" : false, "suffix" : "" } ], "container-title" : "Journal of Solid State Electrochemistry", "id" : "ITEM-1", "issue" : "7", "issued" : { "date-parts" : [ [ "2017" ] ] }, "page" : "1939-1964", "publisher" : "Journal of Solid State Electrochemistry", "title" : "Lithium ion, lithium metal, and alternative rechargeable battery technologies: the odyssey for high energy density", "type" : "article-journal", "volume" : "21" }, "uris" : [ "http://www.mendeley.com/documents/?uuid=a7b91e39-6afa-44e5-9029-148c43c4022a" ] } ], "mendeley" : { "formattedCitation" : "&lt;sup&gt;[5]&lt;/sup&gt;", "plainTextFormattedCitation" : "[5]", "previouslyFormattedCitation" : "&lt;sup&gt;[5]&lt;/sup&gt;" }, "properties" : { "noteIndex" : 0 }, "schema" : "https://github.com/citation-style-language/schema/raw/master/csl-citation.json" }</w:instrText>
      </w:r>
      <w:r w:rsidR="00EC4FCB" w:rsidRPr="00EC4FCB">
        <w:rPr>
          <w:rFonts w:ascii="Arial" w:hAnsi="Arial" w:cs="Arial"/>
          <w:sz w:val="22"/>
        </w:rPr>
        <w:fldChar w:fldCharType="separate"/>
      </w:r>
      <w:r w:rsidR="00EC4FCB" w:rsidRPr="00EC4FCB">
        <w:rPr>
          <w:rFonts w:ascii="Arial" w:hAnsi="Arial" w:cs="Arial"/>
          <w:noProof/>
          <w:sz w:val="22"/>
        </w:rPr>
        <w:t>[5]</w:t>
      </w:r>
      <w:r w:rsidR="00EC4FCB" w:rsidRPr="00EC4FCB">
        <w:rPr>
          <w:rFonts w:ascii="Arial" w:hAnsi="Arial" w:cs="Arial"/>
          <w:sz w:val="22"/>
        </w:rPr>
        <w:fldChar w:fldCharType="end"/>
      </w:r>
      <w:r w:rsidR="00E30850">
        <w:rPr>
          <w:rFonts w:ascii="Arial" w:hAnsi="Arial" w:cs="Arial"/>
          <w:sz w:val="22"/>
        </w:rPr>
        <w:t xml:space="preserve"> Further, sulfides </w:t>
      </w:r>
      <w:r w:rsidRPr="008C69D1">
        <w:rPr>
          <w:rFonts w:ascii="Arial" w:hAnsi="Arial" w:cs="Arial"/>
          <w:sz w:val="22"/>
        </w:rPr>
        <w:t xml:space="preserve">offer high ionic conductivity and </w:t>
      </w:r>
      <w:r w:rsidR="005104B9">
        <w:rPr>
          <w:rFonts w:ascii="Arial" w:hAnsi="Arial" w:cs="Arial"/>
          <w:sz w:val="22"/>
        </w:rPr>
        <w:t>can be</w:t>
      </w:r>
      <w:r w:rsidRPr="008C69D1">
        <w:rPr>
          <w:rFonts w:ascii="Arial" w:hAnsi="Arial" w:cs="Arial"/>
          <w:sz w:val="22"/>
        </w:rPr>
        <w:t xml:space="preserve"> </w:t>
      </w:r>
      <w:r w:rsidR="005104B9">
        <w:rPr>
          <w:rFonts w:ascii="Arial" w:hAnsi="Arial" w:cs="Arial"/>
          <w:sz w:val="22"/>
        </w:rPr>
        <w:t>processed in slurry-type sheet-batteries showing promising results.</w:t>
      </w:r>
      <w:r w:rsidR="005104B9" w:rsidRPr="005104B9">
        <w:rPr>
          <w:rFonts w:ascii="Arial" w:hAnsi="Arial" w:cs="Arial"/>
          <w:sz w:val="22"/>
        </w:rPr>
        <w:fldChar w:fldCharType="begin" w:fldLock="1"/>
      </w:r>
      <w:r w:rsidR="005104B9">
        <w:rPr>
          <w:rFonts w:ascii="Arial" w:hAnsi="Arial" w:cs="Arial"/>
          <w:sz w:val="22"/>
        </w:rPr>
        <w:instrText>ADDIN CSL_CITATION { "citationItems" : [ { "id" : "ITEM-1", "itemData" : { "DOI" : "10.1016/j.ensm.2018.11.011", "ISSN" : "2405-8297", "author" : [ { "dropping-particle" : "", "family" : "Ates", "given" : "Tugce", "non-dropping-particle" : "", "parse-names" : false, "suffix" : "" }, { "dropping-particle" : "", "family" : "Keller", "given" : "Marlou", "non-dropping-particle" : "", "parse-names" : false, "suffix" : "" }, { "dropping-particle" : "", "family" : "Kulisch", "given" : "J\u00f6rn", "non-dropping-particle" : "", "parse-names" : false, "suffix" : "" }, { "dropping-particle" : "", "family" : "Adermann", "given" : "Torben", "non-dropping-particle" : "", "parse-names" : false, "suffix" : "" }, { "dropping-particle" : "", "family" : "Passerini", "given" : "Stefano", "non-dropping-particle" : "", "parse-names" : false, "suffix" : "" } ], "container-title" : "Energy Storage Materials", "id" : "ITEM-1", "issue" : "October 2018", "issued" : { "date-parts" : [ [ "2019" ] ] }, "page" : "204-210", "publisher" : "Elsevier B.V.", "title" : "Development of an all-solid-state lithium battery by slurry-coating procedures using a sul fi dic electrolyte", "type" : "article-journal", "volume" : "17" }, "uris" : [ "http://www.mendeley.com/documents/?uuid=4a205832-6b42-42f0-99dc-d2a8a22d1abb" ] } ], "mendeley" : { "formattedCitation" : "&lt;sup&gt;[6]&lt;/sup&gt;", "plainTextFormattedCitation" : "[6]", "previouslyFormattedCitation" : "&lt;sup&gt;[6]&lt;/sup&gt;" }, "properties" : { "noteIndex" : 0 }, "schema" : "https://github.com/citation-style-language/schema/raw/master/csl-citation.json" }</w:instrText>
      </w:r>
      <w:r w:rsidR="005104B9" w:rsidRPr="005104B9">
        <w:rPr>
          <w:rFonts w:ascii="Arial" w:hAnsi="Arial" w:cs="Arial"/>
          <w:sz w:val="22"/>
        </w:rPr>
        <w:fldChar w:fldCharType="separate"/>
      </w:r>
      <w:r w:rsidR="005104B9" w:rsidRPr="005104B9">
        <w:rPr>
          <w:rFonts w:ascii="Arial" w:hAnsi="Arial" w:cs="Arial"/>
          <w:noProof/>
          <w:sz w:val="22"/>
        </w:rPr>
        <w:t>[6]</w:t>
      </w:r>
      <w:r w:rsidR="005104B9" w:rsidRPr="005104B9">
        <w:rPr>
          <w:rFonts w:ascii="Arial" w:hAnsi="Arial" w:cs="Arial"/>
          <w:sz w:val="22"/>
        </w:rPr>
        <w:fldChar w:fldCharType="end"/>
      </w:r>
      <w:r w:rsidR="005104B9">
        <w:rPr>
          <w:rFonts w:ascii="Arial" w:hAnsi="Arial" w:cs="Arial"/>
          <w:sz w:val="22"/>
        </w:rPr>
        <w:t xml:space="preserve"> </w:t>
      </w:r>
      <w:r w:rsidR="00317AD7">
        <w:rPr>
          <w:rFonts w:ascii="Arial" w:hAnsi="Arial" w:cs="Arial"/>
          <w:sz w:val="22"/>
        </w:rPr>
        <w:t>Ano</w:t>
      </w:r>
      <w:r w:rsidR="005104B9">
        <w:rPr>
          <w:rFonts w:ascii="Arial" w:hAnsi="Arial" w:cs="Arial"/>
          <w:sz w:val="22"/>
        </w:rPr>
        <w:t xml:space="preserve">ther advantage of sulfides is the possibility of being </w:t>
      </w:r>
      <w:r w:rsidRPr="008C69D1">
        <w:rPr>
          <w:rFonts w:ascii="Arial" w:hAnsi="Arial" w:cs="Arial"/>
          <w:sz w:val="22"/>
        </w:rPr>
        <w:t>densified at room temperature owing to their ductility.</w:t>
      </w:r>
      <w:r w:rsidR="005104B9" w:rsidRPr="00317AD7">
        <w:rPr>
          <w:rFonts w:ascii="Arial" w:hAnsi="Arial" w:cs="Arial"/>
          <w:sz w:val="22"/>
        </w:rPr>
        <w:fldChar w:fldCharType="begin" w:fldLock="1"/>
      </w:r>
      <w:r w:rsidR="005104B9" w:rsidRPr="00317AD7">
        <w:rPr>
          <w:rFonts w:ascii="Arial" w:hAnsi="Arial" w:cs="Arial"/>
          <w:sz w:val="22"/>
        </w:rPr>
        <w:instrText>ADDIN CSL_CITATION { "citationItems" : [ { "id" : "ITEM-1", "itemData" : { "DOI" : "10.1038/srep02261", "ISBN" : "2045-2322", "ISSN" : "2045-2322", "PMID" : "23877241", "abstract" : "All-solid-state secondary batteries that employ inorganic solid electrolytes are desirable because they are potentially safer than conventional batteries. The ionic conductivities of solid electrolytes are currently attracting great attention. In addition to the conductivity, the mechanical properties of solid electrolytes are important for improving the energy density and cycle performance. However, the mechanical properties of sulfide electrolytes have not been clarified in detail. Here, we demonstrate the unique mechanical properties of sulfide electrolytes. Sulfide electrolytes show room temperature pressure sintering. Ionic materials with low bond energies and a highly covalent character, which is promising for achieving a high ionic conductivity, tend to be suitable for room-temperature processing. The Young's moduli of sulfide electrolytes were measured to be about 20\u2005GPa, which is an intermediate value between those of typical oxides and organic polymers.", "author" : [ { "dropping-particle" : "", "family" : "Sakuda", "given" : "Atsushi", "non-dropping-particle" : "", "parse-names" : false, "suffix" : "" }, { "dropping-particle" : "", "family" : "Hayashi", "given" : "Akitoshi", "non-dropping-particle" : "", "parse-names" : false, "suffix" : "" }, { "dropping-particle" : "", "family" : "Tatsumisago", "given" : "Masahiro", "non-dropping-particle" : "", "parse-names" : false, "suffix" : "" } ], "container-title" : "Scientific reports", "id" : "ITEM-1", "issued" : { "date-parts" : [ [ "2013" ] ] }, "page" : "2261", "title" : "Sulfide solid electrolyte with favorable mechanical property for all-solid-state lithium battery.", "type" : "article-journal", "volume" : "3" }, "uris" : [ "http://www.mendeley.com/documents/?uuid=129903af-6eb8-493e-b97e-7716ad2c6e3d" ] } ], "mendeley" : { "formattedCitation" : "&lt;sup&gt;[7]&lt;/sup&gt;", "plainTextFormattedCitation" : "[7]" }, "properties" : { "noteIndex" : 0 }, "schema" : "https://github.com/citation-style-language/schema/raw/master/csl-citation.json" }</w:instrText>
      </w:r>
      <w:r w:rsidR="005104B9" w:rsidRPr="00317AD7">
        <w:rPr>
          <w:rFonts w:ascii="Arial" w:hAnsi="Arial" w:cs="Arial"/>
          <w:sz w:val="22"/>
        </w:rPr>
        <w:fldChar w:fldCharType="separate"/>
      </w:r>
      <w:r w:rsidR="005104B9" w:rsidRPr="00317AD7">
        <w:rPr>
          <w:rFonts w:ascii="Arial" w:hAnsi="Arial" w:cs="Arial"/>
          <w:noProof/>
          <w:sz w:val="22"/>
        </w:rPr>
        <w:t>[7]</w:t>
      </w:r>
      <w:r w:rsidR="005104B9" w:rsidRPr="00317AD7">
        <w:rPr>
          <w:rFonts w:ascii="Arial" w:hAnsi="Arial" w:cs="Arial"/>
          <w:sz w:val="22"/>
        </w:rPr>
        <w:fldChar w:fldCharType="end"/>
      </w:r>
      <w:r w:rsidRPr="00317AD7">
        <w:rPr>
          <w:rFonts w:ascii="Arial" w:hAnsi="Arial" w:cs="Arial"/>
          <w:sz w:val="22"/>
        </w:rPr>
        <w:t xml:space="preserve"> </w:t>
      </w:r>
      <w:r w:rsidRPr="008C69D1">
        <w:rPr>
          <w:rFonts w:ascii="Arial" w:hAnsi="Arial" w:cs="Arial"/>
          <w:sz w:val="22"/>
        </w:rPr>
        <w:t>This last aspect often leads to the assumption that highly dense SE layers can be easily obtained by cold pressing, thus discouraging a systematic investigation on the role of SE’s microstructure. Therefore</w:t>
      </w:r>
      <w:r w:rsidR="00BE5369">
        <w:rPr>
          <w:rFonts w:ascii="Arial" w:hAnsi="Arial" w:cs="Arial"/>
          <w:sz w:val="22"/>
        </w:rPr>
        <w:t xml:space="preserve">, here </w:t>
      </w:r>
      <w:r w:rsidRPr="008C69D1">
        <w:rPr>
          <w:rFonts w:ascii="Arial" w:hAnsi="Arial" w:cs="Arial"/>
          <w:sz w:val="22"/>
        </w:rPr>
        <w:t xml:space="preserve">we investigate for the first time the microstructure of a thiophosphate SE </w:t>
      </w:r>
      <w:r w:rsidRPr="008C69D1">
        <w:rPr>
          <w:rFonts w:ascii="Symbol" w:hAnsi="Symbol" w:cs="Arial"/>
          <w:sz w:val="22"/>
        </w:rPr>
        <w:t></w:t>
      </w:r>
      <w:r w:rsidRPr="008C69D1">
        <w:rPr>
          <w:rFonts w:ascii="Symbol" w:hAnsi="Symbol" w:cs="Arial"/>
          <w:sz w:val="22"/>
        </w:rPr>
        <w:t></w:t>
      </w:r>
      <w:r w:rsidRPr="008C69D1">
        <w:rPr>
          <w:rFonts w:ascii="Arial" w:hAnsi="Arial" w:cs="Arial"/>
          <w:sz w:val="22"/>
        </w:rPr>
        <w:t xml:space="preserve">LPS. Four batches of </w:t>
      </w:r>
      <w:r w:rsidR="00BE5369" w:rsidRPr="00BE5369">
        <w:rPr>
          <w:rFonts w:ascii="Arial" w:hAnsi="Arial" w:cs="Arial"/>
          <w:sz w:val="22"/>
        </w:rPr>
        <w:t>β-Li</w:t>
      </w:r>
      <w:r w:rsidR="00BE5369" w:rsidRPr="00645B05">
        <w:rPr>
          <w:rFonts w:ascii="Arial" w:hAnsi="Arial" w:cs="Arial"/>
          <w:sz w:val="22"/>
          <w:vertAlign w:val="subscript"/>
        </w:rPr>
        <w:t>3</w:t>
      </w:r>
      <w:r w:rsidR="00BE5369" w:rsidRPr="00BE5369">
        <w:rPr>
          <w:rFonts w:ascii="Arial" w:hAnsi="Arial" w:cs="Arial"/>
          <w:sz w:val="22"/>
        </w:rPr>
        <w:t>PS</w:t>
      </w:r>
      <w:r w:rsidR="00BE5369" w:rsidRPr="00645B05">
        <w:rPr>
          <w:rFonts w:ascii="Arial" w:hAnsi="Arial" w:cs="Arial"/>
          <w:sz w:val="22"/>
          <w:vertAlign w:val="subscript"/>
        </w:rPr>
        <w:t>4</w:t>
      </w:r>
      <w:r w:rsidR="00BE5369">
        <w:rPr>
          <w:rFonts w:ascii="Arial" w:hAnsi="Arial" w:cs="Arial"/>
          <w:sz w:val="22"/>
        </w:rPr>
        <w:t xml:space="preserve"> </w:t>
      </w:r>
      <w:r w:rsidRPr="008C69D1">
        <w:rPr>
          <w:rFonts w:ascii="Arial" w:hAnsi="Arial" w:cs="Arial"/>
          <w:sz w:val="22"/>
        </w:rPr>
        <w:t xml:space="preserve">with different particle morphologies </w:t>
      </w:r>
      <w:r w:rsidR="00BE5369">
        <w:rPr>
          <w:rFonts w:ascii="Arial" w:hAnsi="Arial" w:cs="Arial"/>
          <w:sz w:val="22"/>
        </w:rPr>
        <w:t xml:space="preserve">are </w:t>
      </w:r>
      <w:r w:rsidRPr="008C69D1">
        <w:rPr>
          <w:rFonts w:ascii="Arial" w:hAnsi="Arial" w:cs="Arial"/>
          <w:sz w:val="22"/>
        </w:rPr>
        <w:t>systematically studied.</w:t>
      </w:r>
      <w:r w:rsidR="00EC4FCB">
        <w:rPr>
          <w:rFonts w:ascii="Arial" w:hAnsi="Arial" w:cs="Arial"/>
          <w:sz w:val="22"/>
        </w:rPr>
        <w:t xml:space="preserve"> </w:t>
      </w:r>
      <w:r w:rsidR="00EC4FCB" w:rsidRPr="00EC4FCB">
        <w:rPr>
          <w:rFonts w:ascii="Arial" w:hAnsi="Arial" w:cs="Arial"/>
          <w:sz w:val="22"/>
        </w:rPr>
        <w:t>It is found out that differences in pellet porosities are originating from single-particle intrinsic features, especially, the particle size</w:t>
      </w:r>
      <w:r w:rsidR="00BE5369">
        <w:rPr>
          <w:rFonts w:ascii="Arial" w:hAnsi="Arial" w:cs="Arial"/>
          <w:sz w:val="22"/>
        </w:rPr>
        <w:t xml:space="preserve"> and porosity</w:t>
      </w:r>
      <w:r w:rsidR="00EC4FCB" w:rsidRPr="00EC4FCB">
        <w:rPr>
          <w:rFonts w:ascii="Arial" w:hAnsi="Arial" w:cs="Arial"/>
          <w:sz w:val="22"/>
        </w:rPr>
        <w:t>.</w:t>
      </w:r>
      <w:r w:rsidRPr="008C69D1">
        <w:rPr>
          <w:rFonts w:ascii="Arial" w:hAnsi="Arial" w:cs="Arial"/>
          <w:sz w:val="22"/>
        </w:rPr>
        <w:t xml:space="preserve"> The batches with larger SE particles showed overall better </w:t>
      </w:r>
      <w:r w:rsidR="00F95A81">
        <w:rPr>
          <w:rFonts w:ascii="Arial" w:hAnsi="Arial" w:cs="Arial"/>
          <w:sz w:val="22"/>
        </w:rPr>
        <w:t>performance</w:t>
      </w:r>
      <w:r w:rsidR="00F95A81" w:rsidRPr="008C69D1">
        <w:rPr>
          <w:rFonts w:ascii="Arial" w:hAnsi="Arial" w:cs="Arial"/>
          <w:sz w:val="22"/>
        </w:rPr>
        <w:t xml:space="preserve"> </w:t>
      </w:r>
      <w:r w:rsidRPr="008C69D1">
        <w:rPr>
          <w:rFonts w:ascii="Arial" w:hAnsi="Arial" w:cs="Arial"/>
          <w:sz w:val="22"/>
        </w:rPr>
        <w:t>even though the porosities of the pressed SE pellets were between 30-40%, whereas the denser SE pellets made of smaller sized SE particles delivered lower ionic conductivities</w:t>
      </w:r>
      <w:r w:rsidR="00F95A81">
        <w:rPr>
          <w:rFonts w:ascii="Arial" w:hAnsi="Arial" w:cs="Arial"/>
          <w:sz w:val="22"/>
        </w:rPr>
        <w:t xml:space="preserve"> and higher interface resistance with Li</w:t>
      </w:r>
      <w:r w:rsidRPr="008C69D1">
        <w:rPr>
          <w:rFonts w:ascii="Arial" w:hAnsi="Arial" w:cs="Arial"/>
          <w:sz w:val="22"/>
        </w:rPr>
        <w:t>. Modelling results suggest that the grain boundary resistance may play a crucial role not only for oxide SE</w:t>
      </w:r>
      <w:r w:rsidR="005104B9" w:rsidRPr="00317AD7">
        <w:rPr>
          <w:rFonts w:ascii="Arial" w:hAnsi="Arial" w:cs="Arial"/>
          <w:sz w:val="22"/>
        </w:rPr>
        <w:t xml:space="preserve"> </w:t>
      </w:r>
      <w:r w:rsidR="005104B9" w:rsidRPr="00317AD7">
        <w:rPr>
          <w:rFonts w:ascii="Arial" w:hAnsi="Arial" w:cs="Arial"/>
          <w:sz w:val="22"/>
        </w:rPr>
        <w:fldChar w:fldCharType="begin" w:fldLock="1"/>
      </w:r>
      <w:r w:rsidR="005104B9" w:rsidRPr="00317AD7">
        <w:rPr>
          <w:rFonts w:ascii="Arial" w:hAnsi="Arial" w:cs="Arial"/>
          <w:sz w:val="22"/>
        </w:rPr>
        <w:instrText>ADDIN CSL_CITATION { "citationItems" : [ { "id" : "ITEM-1", "itemData" : { "DOI" : "10.1021/acsaem.1c00362", "ISSN" : "2574-0962", "abstract" : "Lithium metal anodes are vital enablers for high-energy all-solid-state batteries (ASSBs). To promote ASSBs in practical applications, performance limitations such as the high lithium interface resistance and the grain boundary resistance in the solid electrolyte (SE) need to be understood and reduced by optimization of the cell design. In this work, we use our 3D microstructure-resolved simulation approach combined with a modified grain boundary transport model for the SE to shed some light on the aforementioned limitations in garnet ASSBs. Using high-resolution volume images of the SE electrode sample, we are able to reconstruct the SE microstructure. Using a grain segmentation algorithm, we further distinguish individual grains and account for the influence of the SE grain size and grain boundaries. We focus our simulation work on the trilayer cell architecture, consisting of two porous SE electrodes separated by a dense layer. Even though the highly porous SE electrodes reduce the lithium interface resistance by providing a higher active surface area, the increased electrode tortuosity also reduces the effective ionic conductivity in the SE. We confirm via impedance simulation studies and validation against experimental results that with increasing SE electrode porosity, the lithium transport becomes limited by grain boundaries. We also correlate the area-specific resistance to different lithium infiltration stages in the trilayer cell by spatially resolving the current density distribution. This analysis allows us to suggest a plausible deposition mechanism, and moreover, we identify current density hot spots in the proximity of the dense layer. These hot spots might lead to dendrite formation and long-term cell failure. The joint theoretical and experimental study gives guidelines for cell design and optimization which allow further improvement of the trilayer architecture.", "author" : [ { "dropping-particle" : "", "family" : "Neumann", "given" : "Anton", "non-dropping-particle" : "", "parse-names" : false, "suffix" : "" }, { "dropping-particle" : "", "family" : "Hamann", "given" : "Tanner R.", "non-dropping-particle" : "", "parse-names" : false, "suffix" : "" }, { "dropping-particle" : "", "family" : "Danner", "given" : "Timo", "non-dropping-particle" : "", "parse-names" : false, "suffix" : "" }, { "dropping-particle" : "", "family" : "Hein", "given" : "Simon", "non-dropping-particle" : "", "parse-names" : false, "suffix" : "" }, { "dropping-particle" : "", "family" : "Becker-Steinberger", "given" : "Katharina", "non-dropping-particle" : "", "parse-names" : false, "suffix" : "" }, { "dropping-particle" : "", "family" : "Wachsman", "given" : "Eric", "non-dropping-particle" : "", "parse-names" : false, "suffix" : "" }, { "dropping-particle" : "", "family" : "Latz", "given" : "Arnulf", "non-dropping-particle" : "", "parse-names" : false, "suffix" : "" } ], "container-title" : "ACS Applied Energy Materials", "id" : "ITEM-1", "issue" : "5", "issued" : { "date-parts" : [ [ "2021" ] ] }, "page" : "4786-4804", "title" : "Effect of the 3D Structure and Grain Boundaries on Lithium Transport in Garnet Solid Electrolytes", "type" : "article-journal", "volume" : "4" }, "uris" : [ "http://www.mendeley.com/documents/?uuid=599bdb2f-6ffe-446a-9f17-2480eb410caa" ] } ], "mendeley" : { "formattedCitation" : "&lt;sup&gt;[8]&lt;/sup&gt;", "plainTextFormattedCitation" : "[8]", "previouslyFormattedCitation" : "&lt;sup&gt;[7]&lt;/sup&gt;" }, "properties" : { "noteIndex" : 0 }, "schema" : "https://github.com/citation-style-language/schema/raw/master/csl-citation.json" }</w:instrText>
      </w:r>
      <w:r w:rsidR="005104B9" w:rsidRPr="00317AD7">
        <w:rPr>
          <w:rFonts w:ascii="Arial" w:hAnsi="Arial" w:cs="Arial"/>
          <w:sz w:val="22"/>
        </w:rPr>
        <w:fldChar w:fldCharType="separate"/>
      </w:r>
      <w:r w:rsidR="005104B9" w:rsidRPr="00317AD7">
        <w:rPr>
          <w:rFonts w:ascii="Arial" w:hAnsi="Arial" w:cs="Arial"/>
          <w:noProof/>
          <w:sz w:val="22"/>
        </w:rPr>
        <w:t>[8]</w:t>
      </w:r>
      <w:r w:rsidR="005104B9" w:rsidRPr="00317AD7">
        <w:rPr>
          <w:rFonts w:ascii="Arial" w:hAnsi="Arial" w:cs="Arial"/>
          <w:sz w:val="22"/>
        </w:rPr>
        <w:fldChar w:fldCharType="end"/>
      </w:r>
      <w:r w:rsidRPr="008C69D1">
        <w:rPr>
          <w:rFonts w:ascii="Arial" w:hAnsi="Arial" w:cs="Arial"/>
          <w:sz w:val="22"/>
        </w:rPr>
        <w:t>, but also in the case of sulfides.</w:t>
      </w:r>
      <w:r w:rsidR="00F95A81">
        <w:rPr>
          <w:rFonts w:ascii="Arial" w:hAnsi="Arial" w:cs="Arial"/>
          <w:sz w:val="22"/>
        </w:rPr>
        <w:t xml:space="preserve"> </w:t>
      </w:r>
      <w:r w:rsidR="00F95A81" w:rsidRPr="00F95A81">
        <w:rPr>
          <w:rFonts w:ascii="Arial" w:hAnsi="Arial" w:cs="Arial"/>
          <w:sz w:val="22"/>
        </w:rPr>
        <w:t xml:space="preserve">Larger SE particles seem to be more attractive, as their grain boundary contribution is lower than that of denser pellets prepared using smaller β-LPS particles. </w:t>
      </w:r>
      <w:r w:rsidRPr="008C69D1">
        <w:rPr>
          <w:rFonts w:ascii="Arial" w:hAnsi="Arial" w:cs="Arial"/>
          <w:sz w:val="22"/>
        </w:rPr>
        <w:t>Our unexpected findings mean, that striving for a dense SE separator may become irrelevant, as long</w:t>
      </w:r>
      <w:r w:rsidR="0048789C">
        <w:rPr>
          <w:rFonts w:ascii="Arial" w:hAnsi="Arial" w:cs="Arial"/>
          <w:sz w:val="22"/>
        </w:rPr>
        <w:t xml:space="preserve"> </w:t>
      </w:r>
      <w:r w:rsidRPr="008C69D1">
        <w:rPr>
          <w:rFonts w:ascii="Arial" w:hAnsi="Arial" w:cs="Arial"/>
          <w:sz w:val="22"/>
        </w:rPr>
        <w:t>as the microstructure allows for low grain boundary resistance. This certainly represents a paradigm shift and may open new possibilities in the field of SSBs, including the design of highly porous, low density solid electrolytes.</w:t>
      </w:r>
    </w:p>
    <w:p w:rsidR="0048789C" w:rsidRDefault="0048789C" w:rsidP="004F41FF">
      <w:pPr>
        <w:tabs>
          <w:tab w:val="left" w:pos="2775"/>
        </w:tabs>
        <w:rPr>
          <w:rFonts w:ascii="Arial" w:hAnsi="Arial" w:cs="Arial"/>
          <w:sz w:val="22"/>
        </w:rPr>
      </w:pPr>
      <w:bookmarkStart w:id="0" w:name="_GoBack"/>
      <w:bookmarkEnd w:id="0"/>
    </w:p>
    <w:p w:rsidR="003479B2" w:rsidRPr="00BE5369" w:rsidRDefault="003479B2" w:rsidP="00F72FBD">
      <w:pPr>
        <w:rPr>
          <w:rFonts w:ascii="Arial" w:hAnsi="Arial" w:cs="Arial"/>
          <w:b/>
          <w:lang w:val="it-IT"/>
        </w:rPr>
      </w:pPr>
      <w:r w:rsidRPr="00BE5369">
        <w:rPr>
          <w:rFonts w:ascii="Arial" w:hAnsi="Arial" w:cs="Arial"/>
          <w:b/>
          <w:lang w:val="it-IT"/>
        </w:rPr>
        <w:t>References</w:t>
      </w:r>
    </w:p>
    <w:p w:rsidR="005104B9" w:rsidRPr="00BE5369" w:rsidRDefault="003479B2" w:rsidP="005104B9">
      <w:pPr>
        <w:widowControl w:val="0"/>
        <w:autoSpaceDE w:val="0"/>
        <w:autoSpaceDN w:val="0"/>
        <w:adjustRightInd w:val="0"/>
        <w:spacing w:after="0"/>
        <w:ind w:left="640" w:hanging="640"/>
        <w:rPr>
          <w:rFonts w:ascii="Arial" w:hAnsi="Arial" w:cs="Arial"/>
          <w:noProof/>
          <w:szCs w:val="24"/>
          <w:lang w:val="it-IT"/>
        </w:rPr>
      </w:pPr>
      <w:r w:rsidRPr="004F41FF">
        <w:rPr>
          <w:rFonts w:ascii="Arial" w:hAnsi="Arial" w:cs="Arial"/>
          <w:szCs w:val="18"/>
        </w:rPr>
        <w:fldChar w:fldCharType="begin" w:fldLock="1"/>
      </w:r>
      <w:r w:rsidRPr="00BE5369">
        <w:rPr>
          <w:rFonts w:ascii="Arial" w:hAnsi="Arial" w:cs="Arial"/>
          <w:szCs w:val="18"/>
          <w:lang w:val="it-IT"/>
        </w:rPr>
        <w:instrText xml:space="preserve">ADDIN Mendeley Bibliography CSL_BIBLIOGRAPHY </w:instrText>
      </w:r>
      <w:r w:rsidRPr="004F41FF">
        <w:rPr>
          <w:rFonts w:ascii="Arial" w:hAnsi="Arial" w:cs="Arial"/>
          <w:szCs w:val="18"/>
        </w:rPr>
        <w:fldChar w:fldCharType="separate"/>
      </w:r>
      <w:r w:rsidR="005104B9" w:rsidRPr="00BE5369">
        <w:rPr>
          <w:rFonts w:ascii="Arial" w:hAnsi="Arial" w:cs="Arial"/>
          <w:noProof/>
          <w:szCs w:val="24"/>
          <w:lang w:val="it-IT"/>
        </w:rPr>
        <w:t>[1]</w:t>
      </w:r>
      <w:r w:rsidR="005104B9" w:rsidRPr="00BE5369">
        <w:rPr>
          <w:rFonts w:ascii="Arial" w:hAnsi="Arial" w:cs="Arial"/>
          <w:noProof/>
          <w:szCs w:val="24"/>
          <w:lang w:val="it-IT"/>
        </w:rPr>
        <w:tab/>
        <w:t xml:space="preserve">A. Varzi, R. Raccichini, S. Passerini, B. Scrosati, </w:t>
      </w:r>
      <w:r w:rsidR="005104B9" w:rsidRPr="00BE5369">
        <w:rPr>
          <w:rFonts w:ascii="Arial" w:hAnsi="Arial" w:cs="Arial"/>
          <w:i/>
          <w:iCs/>
          <w:noProof/>
          <w:szCs w:val="24"/>
          <w:lang w:val="it-IT"/>
        </w:rPr>
        <w:t>J. Mater. Chem. A</w:t>
      </w:r>
      <w:r w:rsidR="005104B9" w:rsidRPr="00BE5369">
        <w:rPr>
          <w:rFonts w:ascii="Arial" w:hAnsi="Arial" w:cs="Arial"/>
          <w:noProof/>
          <w:szCs w:val="24"/>
          <w:lang w:val="it-IT"/>
        </w:rPr>
        <w:t xml:space="preserve"> </w:t>
      </w:r>
      <w:r w:rsidR="005104B9" w:rsidRPr="00BE5369">
        <w:rPr>
          <w:rFonts w:ascii="Arial" w:hAnsi="Arial" w:cs="Arial"/>
          <w:b/>
          <w:bCs/>
          <w:noProof/>
          <w:szCs w:val="24"/>
          <w:lang w:val="it-IT"/>
        </w:rPr>
        <w:t>2016</w:t>
      </w:r>
      <w:r w:rsidR="005104B9" w:rsidRPr="00BE5369">
        <w:rPr>
          <w:rFonts w:ascii="Arial" w:hAnsi="Arial" w:cs="Arial"/>
          <w:noProof/>
          <w:szCs w:val="24"/>
          <w:lang w:val="it-IT"/>
        </w:rPr>
        <w:t xml:space="preserve">, </w:t>
      </w:r>
      <w:r w:rsidR="005104B9" w:rsidRPr="00BE5369">
        <w:rPr>
          <w:rFonts w:ascii="Arial" w:hAnsi="Arial" w:cs="Arial"/>
          <w:i/>
          <w:iCs/>
          <w:noProof/>
          <w:szCs w:val="24"/>
          <w:lang w:val="it-IT"/>
        </w:rPr>
        <w:t>0</w:t>
      </w:r>
      <w:r w:rsidR="005104B9" w:rsidRPr="00BE5369">
        <w:rPr>
          <w:rFonts w:ascii="Arial" w:hAnsi="Arial" w:cs="Arial"/>
          <w:noProof/>
          <w:szCs w:val="24"/>
          <w:lang w:val="it-IT"/>
        </w:rPr>
        <w:t>, 1–9.</w:t>
      </w:r>
    </w:p>
    <w:p w:rsidR="005104B9" w:rsidRPr="00BE5369" w:rsidRDefault="005104B9" w:rsidP="005104B9">
      <w:pPr>
        <w:widowControl w:val="0"/>
        <w:autoSpaceDE w:val="0"/>
        <w:autoSpaceDN w:val="0"/>
        <w:adjustRightInd w:val="0"/>
        <w:spacing w:after="0"/>
        <w:ind w:left="640" w:hanging="640"/>
        <w:rPr>
          <w:rFonts w:ascii="Arial" w:hAnsi="Arial" w:cs="Arial"/>
          <w:noProof/>
          <w:szCs w:val="24"/>
          <w:lang w:val="it-IT"/>
        </w:rPr>
      </w:pPr>
      <w:r w:rsidRPr="00BE5369">
        <w:rPr>
          <w:rFonts w:ascii="Arial" w:hAnsi="Arial" w:cs="Arial"/>
          <w:noProof/>
          <w:szCs w:val="24"/>
          <w:lang w:val="it-IT"/>
        </w:rPr>
        <w:t>[2]</w:t>
      </w:r>
      <w:r w:rsidRPr="00BE5369">
        <w:rPr>
          <w:rFonts w:ascii="Arial" w:hAnsi="Arial" w:cs="Arial"/>
          <w:noProof/>
          <w:szCs w:val="24"/>
          <w:lang w:val="it-IT"/>
        </w:rPr>
        <w:tab/>
        <w:t xml:space="preserve">J. Janek, W. G. Zeier, </w:t>
      </w:r>
      <w:r w:rsidRPr="00BE5369">
        <w:rPr>
          <w:rFonts w:ascii="Arial" w:hAnsi="Arial" w:cs="Arial"/>
          <w:i/>
          <w:iCs/>
          <w:noProof/>
          <w:szCs w:val="24"/>
          <w:lang w:val="it-IT"/>
        </w:rPr>
        <w:t>Nat. energy</w:t>
      </w:r>
      <w:r w:rsidRPr="00BE5369">
        <w:rPr>
          <w:rFonts w:ascii="Arial" w:hAnsi="Arial" w:cs="Arial"/>
          <w:noProof/>
          <w:szCs w:val="24"/>
          <w:lang w:val="it-IT"/>
        </w:rPr>
        <w:t xml:space="preserve"> </w:t>
      </w:r>
      <w:r w:rsidRPr="00BE5369">
        <w:rPr>
          <w:rFonts w:ascii="Arial" w:hAnsi="Arial" w:cs="Arial"/>
          <w:b/>
          <w:bCs/>
          <w:noProof/>
          <w:szCs w:val="24"/>
          <w:lang w:val="it-IT"/>
        </w:rPr>
        <w:t>2016</w:t>
      </w:r>
      <w:r w:rsidRPr="00BE5369">
        <w:rPr>
          <w:rFonts w:ascii="Arial" w:hAnsi="Arial" w:cs="Arial"/>
          <w:noProof/>
          <w:szCs w:val="24"/>
          <w:lang w:val="it-IT"/>
        </w:rPr>
        <w:t xml:space="preserve">, </w:t>
      </w:r>
      <w:r w:rsidRPr="00BE5369">
        <w:rPr>
          <w:rFonts w:ascii="Arial" w:hAnsi="Arial" w:cs="Arial"/>
          <w:i/>
          <w:iCs/>
          <w:noProof/>
          <w:szCs w:val="24"/>
          <w:lang w:val="it-IT"/>
        </w:rPr>
        <w:t>1</w:t>
      </w:r>
      <w:r w:rsidRPr="00BE5369">
        <w:rPr>
          <w:rFonts w:ascii="Arial" w:hAnsi="Arial" w:cs="Arial"/>
          <w:noProof/>
          <w:szCs w:val="24"/>
          <w:lang w:val="it-IT"/>
        </w:rPr>
        <w:t>, 1–4.</w:t>
      </w:r>
    </w:p>
    <w:p w:rsidR="005104B9" w:rsidRPr="00BE5369" w:rsidRDefault="005104B9" w:rsidP="005104B9">
      <w:pPr>
        <w:widowControl w:val="0"/>
        <w:autoSpaceDE w:val="0"/>
        <w:autoSpaceDN w:val="0"/>
        <w:adjustRightInd w:val="0"/>
        <w:spacing w:after="0"/>
        <w:ind w:left="640" w:hanging="640"/>
        <w:rPr>
          <w:rFonts w:ascii="Arial" w:hAnsi="Arial" w:cs="Arial"/>
          <w:noProof/>
          <w:szCs w:val="24"/>
          <w:lang w:val="it-IT"/>
        </w:rPr>
      </w:pPr>
      <w:r w:rsidRPr="00BE5369">
        <w:rPr>
          <w:rFonts w:ascii="Arial" w:hAnsi="Arial" w:cs="Arial"/>
          <w:noProof/>
          <w:szCs w:val="24"/>
          <w:lang w:val="it-IT"/>
        </w:rPr>
        <w:t>[3]</w:t>
      </w:r>
      <w:r w:rsidRPr="00BE5369">
        <w:rPr>
          <w:rFonts w:ascii="Arial" w:hAnsi="Arial" w:cs="Arial"/>
          <w:noProof/>
          <w:szCs w:val="24"/>
          <w:lang w:val="it-IT"/>
        </w:rPr>
        <w:tab/>
        <w:t xml:space="preserve">M. Keller, G. B. Appetecchi, G. T. Kim, V. Sharova, M. Schneider, J. Schuhmacher, A. Roters, S. Passerini, </w:t>
      </w:r>
      <w:r w:rsidRPr="00BE5369">
        <w:rPr>
          <w:rFonts w:ascii="Arial" w:hAnsi="Arial" w:cs="Arial"/>
          <w:i/>
          <w:iCs/>
          <w:noProof/>
          <w:szCs w:val="24"/>
          <w:lang w:val="it-IT"/>
        </w:rPr>
        <w:t>J. Power Sources</w:t>
      </w:r>
      <w:r w:rsidRPr="00BE5369">
        <w:rPr>
          <w:rFonts w:ascii="Arial" w:hAnsi="Arial" w:cs="Arial"/>
          <w:noProof/>
          <w:szCs w:val="24"/>
          <w:lang w:val="it-IT"/>
        </w:rPr>
        <w:t xml:space="preserve"> </w:t>
      </w:r>
      <w:r w:rsidRPr="00BE5369">
        <w:rPr>
          <w:rFonts w:ascii="Arial" w:hAnsi="Arial" w:cs="Arial"/>
          <w:b/>
          <w:bCs/>
          <w:noProof/>
          <w:szCs w:val="24"/>
          <w:lang w:val="it-IT"/>
        </w:rPr>
        <w:t>2017</w:t>
      </w:r>
      <w:r w:rsidRPr="00BE5369">
        <w:rPr>
          <w:rFonts w:ascii="Arial" w:hAnsi="Arial" w:cs="Arial"/>
          <w:noProof/>
          <w:szCs w:val="24"/>
          <w:lang w:val="it-IT"/>
        </w:rPr>
        <w:t xml:space="preserve">, </w:t>
      </w:r>
      <w:r w:rsidRPr="00BE5369">
        <w:rPr>
          <w:rFonts w:ascii="Arial" w:hAnsi="Arial" w:cs="Arial"/>
          <w:i/>
          <w:iCs/>
          <w:noProof/>
          <w:szCs w:val="24"/>
          <w:lang w:val="it-IT"/>
        </w:rPr>
        <w:t>353</w:t>
      </w:r>
      <w:r w:rsidRPr="00BE5369">
        <w:rPr>
          <w:rFonts w:ascii="Arial" w:hAnsi="Arial" w:cs="Arial"/>
          <w:noProof/>
          <w:szCs w:val="24"/>
          <w:lang w:val="it-IT"/>
        </w:rPr>
        <w:t>, 287–297.</w:t>
      </w:r>
    </w:p>
    <w:p w:rsidR="005104B9" w:rsidRPr="00BE5369" w:rsidRDefault="005104B9" w:rsidP="005104B9">
      <w:pPr>
        <w:widowControl w:val="0"/>
        <w:autoSpaceDE w:val="0"/>
        <w:autoSpaceDN w:val="0"/>
        <w:adjustRightInd w:val="0"/>
        <w:spacing w:after="0"/>
        <w:ind w:left="640" w:hanging="640"/>
        <w:rPr>
          <w:rFonts w:ascii="Arial" w:hAnsi="Arial" w:cs="Arial"/>
          <w:noProof/>
          <w:szCs w:val="24"/>
          <w:lang w:val="it-IT"/>
        </w:rPr>
      </w:pPr>
      <w:r w:rsidRPr="00BE5369">
        <w:rPr>
          <w:rFonts w:ascii="Arial" w:hAnsi="Arial" w:cs="Arial"/>
          <w:noProof/>
          <w:szCs w:val="24"/>
          <w:lang w:val="it-IT"/>
        </w:rPr>
        <w:t>[4]</w:t>
      </w:r>
      <w:r w:rsidRPr="00BE5369">
        <w:rPr>
          <w:rFonts w:ascii="Arial" w:hAnsi="Arial" w:cs="Arial"/>
          <w:noProof/>
          <w:szCs w:val="24"/>
          <w:lang w:val="it-IT"/>
        </w:rPr>
        <w:tab/>
        <w:t xml:space="preserve">C. de la Torre-Gamarra, G. B. Appetecchi, U. Ulissi, A. Varzi, A. Varez, S. Passerini, </w:t>
      </w:r>
      <w:r w:rsidRPr="00BE5369">
        <w:rPr>
          <w:rFonts w:ascii="Arial" w:hAnsi="Arial" w:cs="Arial"/>
          <w:i/>
          <w:iCs/>
          <w:noProof/>
          <w:szCs w:val="24"/>
          <w:lang w:val="it-IT"/>
        </w:rPr>
        <w:t>J. Power Sources</w:t>
      </w:r>
      <w:r w:rsidRPr="00BE5369">
        <w:rPr>
          <w:rFonts w:ascii="Arial" w:hAnsi="Arial" w:cs="Arial"/>
          <w:noProof/>
          <w:szCs w:val="24"/>
          <w:lang w:val="it-IT"/>
        </w:rPr>
        <w:t xml:space="preserve"> </w:t>
      </w:r>
      <w:r w:rsidRPr="00BE5369">
        <w:rPr>
          <w:rFonts w:ascii="Arial" w:hAnsi="Arial" w:cs="Arial"/>
          <w:b/>
          <w:bCs/>
          <w:noProof/>
          <w:szCs w:val="24"/>
          <w:lang w:val="it-IT"/>
        </w:rPr>
        <w:t>2017</w:t>
      </w:r>
      <w:r w:rsidRPr="00BE5369">
        <w:rPr>
          <w:rFonts w:ascii="Arial" w:hAnsi="Arial" w:cs="Arial"/>
          <w:noProof/>
          <w:szCs w:val="24"/>
          <w:lang w:val="it-IT"/>
        </w:rPr>
        <w:t>, 0–1.</w:t>
      </w:r>
    </w:p>
    <w:p w:rsidR="005104B9" w:rsidRPr="00BE5369" w:rsidRDefault="005104B9" w:rsidP="005104B9">
      <w:pPr>
        <w:widowControl w:val="0"/>
        <w:autoSpaceDE w:val="0"/>
        <w:autoSpaceDN w:val="0"/>
        <w:adjustRightInd w:val="0"/>
        <w:spacing w:after="0"/>
        <w:ind w:left="640" w:hanging="640"/>
        <w:rPr>
          <w:rFonts w:ascii="Arial" w:hAnsi="Arial" w:cs="Arial"/>
          <w:noProof/>
          <w:szCs w:val="24"/>
          <w:lang w:val="de-DE"/>
        </w:rPr>
      </w:pPr>
      <w:r w:rsidRPr="00BE5369">
        <w:rPr>
          <w:rFonts w:ascii="Arial" w:hAnsi="Arial" w:cs="Arial"/>
          <w:noProof/>
          <w:szCs w:val="24"/>
          <w:lang w:val="de-DE"/>
        </w:rPr>
        <w:lastRenderedPageBreak/>
        <w:t>[5]</w:t>
      </w:r>
      <w:r w:rsidRPr="00BE5369">
        <w:rPr>
          <w:rFonts w:ascii="Arial" w:hAnsi="Arial" w:cs="Arial"/>
          <w:noProof/>
          <w:szCs w:val="24"/>
          <w:lang w:val="de-DE"/>
        </w:rPr>
        <w:tab/>
        <w:t xml:space="preserve">T. Placke, R. Kloepsch, S. Dühnen, M. Winter, </w:t>
      </w:r>
      <w:r w:rsidRPr="00BE5369">
        <w:rPr>
          <w:rFonts w:ascii="Arial" w:hAnsi="Arial" w:cs="Arial"/>
          <w:i/>
          <w:iCs/>
          <w:noProof/>
          <w:szCs w:val="24"/>
          <w:lang w:val="de-DE"/>
        </w:rPr>
        <w:t>J. Solid State Electrochem.</w:t>
      </w:r>
      <w:r w:rsidRPr="00BE5369">
        <w:rPr>
          <w:rFonts w:ascii="Arial" w:hAnsi="Arial" w:cs="Arial"/>
          <w:noProof/>
          <w:szCs w:val="24"/>
          <w:lang w:val="de-DE"/>
        </w:rPr>
        <w:t xml:space="preserve"> </w:t>
      </w:r>
      <w:r w:rsidRPr="00BE5369">
        <w:rPr>
          <w:rFonts w:ascii="Arial" w:hAnsi="Arial" w:cs="Arial"/>
          <w:b/>
          <w:bCs/>
          <w:noProof/>
          <w:szCs w:val="24"/>
          <w:lang w:val="de-DE"/>
        </w:rPr>
        <w:t>2017</w:t>
      </w:r>
      <w:r w:rsidRPr="00BE5369">
        <w:rPr>
          <w:rFonts w:ascii="Arial" w:hAnsi="Arial" w:cs="Arial"/>
          <w:noProof/>
          <w:szCs w:val="24"/>
          <w:lang w:val="de-DE"/>
        </w:rPr>
        <w:t xml:space="preserve">, </w:t>
      </w:r>
      <w:r w:rsidRPr="00BE5369">
        <w:rPr>
          <w:rFonts w:ascii="Arial" w:hAnsi="Arial" w:cs="Arial"/>
          <w:i/>
          <w:iCs/>
          <w:noProof/>
          <w:szCs w:val="24"/>
          <w:lang w:val="de-DE"/>
        </w:rPr>
        <w:t>21</w:t>
      </w:r>
      <w:r w:rsidRPr="00BE5369">
        <w:rPr>
          <w:rFonts w:ascii="Arial" w:hAnsi="Arial" w:cs="Arial"/>
          <w:noProof/>
          <w:szCs w:val="24"/>
          <w:lang w:val="de-DE"/>
        </w:rPr>
        <w:t>, 1939–1964.</w:t>
      </w:r>
    </w:p>
    <w:p w:rsidR="005104B9" w:rsidRPr="00BE5369" w:rsidRDefault="005104B9" w:rsidP="005104B9">
      <w:pPr>
        <w:widowControl w:val="0"/>
        <w:autoSpaceDE w:val="0"/>
        <w:autoSpaceDN w:val="0"/>
        <w:adjustRightInd w:val="0"/>
        <w:spacing w:after="0"/>
        <w:ind w:left="640" w:hanging="640"/>
        <w:rPr>
          <w:rFonts w:ascii="Arial" w:hAnsi="Arial" w:cs="Arial"/>
          <w:noProof/>
          <w:szCs w:val="24"/>
          <w:lang w:val="de-DE"/>
        </w:rPr>
      </w:pPr>
      <w:r w:rsidRPr="00BE5369">
        <w:rPr>
          <w:rFonts w:ascii="Arial" w:hAnsi="Arial" w:cs="Arial"/>
          <w:noProof/>
          <w:szCs w:val="24"/>
          <w:lang w:val="de-DE"/>
        </w:rPr>
        <w:t>[6]</w:t>
      </w:r>
      <w:r w:rsidRPr="00BE5369">
        <w:rPr>
          <w:rFonts w:ascii="Arial" w:hAnsi="Arial" w:cs="Arial"/>
          <w:noProof/>
          <w:szCs w:val="24"/>
          <w:lang w:val="de-DE"/>
        </w:rPr>
        <w:tab/>
        <w:t xml:space="preserve">T. Ates, M. Keller, J. Kulisch, T. Adermann, S. Passerini, </w:t>
      </w:r>
      <w:r w:rsidRPr="00BE5369">
        <w:rPr>
          <w:rFonts w:ascii="Arial" w:hAnsi="Arial" w:cs="Arial"/>
          <w:i/>
          <w:iCs/>
          <w:noProof/>
          <w:szCs w:val="24"/>
          <w:lang w:val="de-DE"/>
        </w:rPr>
        <w:t>Energy Storage Mater.</w:t>
      </w:r>
      <w:r w:rsidRPr="00BE5369">
        <w:rPr>
          <w:rFonts w:ascii="Arial" w:hAnsi="Arial" w:cs="Arial"/>
          <w:noProof/>
          <w:szCs w:val="24"/>
          <w:lang w:val="de-DE"/>
        </w:rPr>
        <w:t xml:space="preserve"> </w:t>
      </w:r>
      <w:r w:rsidRPr="00BE5369">
        <w:rPr>
          <w:rFonts w:ascii="Arial" w:hAnsi="Arial" w:cs="Arial"/>
          <w:b/>
          <w:bCs/>
          <w:noProof/>
          <w:szCs w:val="24"/>
          <w:lang w:val="de-DE"/>
        </w:rPr>
        <w:t>2019</w:t>
      </w:r>
      <w:r w:rsidRPr="00BE5369">
        <w:rPr>
          <w:rFonts w:ascii="Arial" w:hAnsi="Arial" w:cs="Arial"/>
          <w:noProof/>
          <w:szCs w:val="24"/>
          <w:lang w:val="de-DE"/>
        </w:rPr>
        <w:t xml:space="preserve">, </w:t>
      </w:r>
      <w:r w:rsidRPr="00BE5369">
        <w:rPr>
          <w:rFonts w:ascii="Arial" w:hAnsi="Arial" w:cs="Arial"/>
          <w:i/>
          <w:iCs/>
          <w:noProof/>
          <w:szCs w:val="24"/>
          <w:lang w:val="de-DE"/>
        </w:rPr>
        <w:t>17</w:t>
      </w:r>
      <w:r w:rsidRPr="00BE5369">
        <w:rPr>
          <w:rFonts w:ascii="Arial" w:hAnsi="Arial" w:cs="Arial"/>
          <w:noProof/>
          <w:szCs w:val="24"/>
          <w:lang w:val="de-DE"/>
        </w:rPr>
        <w:t>, 204–210.</w:t>
      </w:r>
    </w:p>
    <w:p w:rsidR="005104B9" w:rsidRPr="00BE5369" w:rsidRDefault="005104B9" w:rsidP="005104B9">
      <w:pPr>
        <w:widowControl w:val="0"/>
        <w:autoSpaceDE w:val="0"/>
        <w:autoSpaceDN w:val="0"/>
        <w:adjustRightInd w:val="0"/>
        <w:spacing w:after="0"/>
        <w:ind w:left="640" w:hanging="640"/>
        <w:rPr>
          <w:rFonts w:ascii="Arial" w:hAnsi="Arial" w:cs="Arial"/>
          <w:noProof/>
          <w:szCs w:val="24"/>
          <w:lang w:val="de-DE"/>
        </w:rPr>
      </w:pPr>
      <w:r w:rsidRPr="00BE5369">
        <w:rPr>
          <w:rFonts w:ascii="Arial" w:hAnsi="Arial" w:cs="Arial"/>
          <w:noProof/>
          <w:szCs w:val="24"/>
          <w:lang w:val="de-DE"/>
        </w:rPr>
        <w:t>[7]</w:t>
      </w:r>
      <w:r w:rsidRPr="00BE5369">
        <w:rPr>
          <w:rFonts w:ascii="Arial" w:hAnsi="Arial" w:cs="Arial"/>
          <w:noProof/>
          <w:szCs w:val="24"/>
          <w:lang w:val="de-DE"/>
        </w:rPr>
        <w:tab/>
        <w:t xml:space="preserve">A. Sakuda, A. Hayashi, M. Tatsumisago, </w:t>
      </w:r>
      <w:r w:rsidRPr="00BE5369">
        <w:rPr>
          <w:rFonts w:ascii="Arial" w:hAnsi="Arial" w:cs="Arial"/>
          <w:i/>
          <w:iCs/>
          <w:noProof/>
          <w:szCs w:val="24"/>
          <w:lang w:val="de-DE"/>
        </w:rPr>
        <w:t>Sci. Rep.</w:t>
      </w:r>
      <w:r w:rsidRPr="00BE5369">
        <w:rPr>
          <w:rFonts w:ascii="Arial" w:hAnsi="Arial" w:cs="Arial"/>
          <w:noProof/>
          <w:szCs w:val="24"/>
          <w:lang w:val="de-DE"/>
        </w:rPr>
        <w:t xml:space="preserve"> </w:t>
      </w:r>
      <w:r w:rsidRPr="00BE5369">
        <w:rPr>
          <w:rFonts w:ascii="Arial" w:hAnsi="Arial" w:cs="Arial"/>
          <w:b/>
          <w:bCs/>
          <w:noProof/>
          <w:szCs w:val="24"/>
          <w:lang w:val="de-DE"/>
        </w:rPr>
        <w:t>2013</w:t>
      </w:r>
      <w:r w:rsidRPr="00BE5369">
        <w:rPr>
          <w:rFonts w:ascii="Arial" w:hAnsi="Arial" w:cs="Arial"/>
          <w:noProof/>
          <w:szCs w:val="24"/>
          <w:lang w:val="de-DE"/>
        </w:rPr>
        <w:t xml:space="preserve">, </w:t>
      </w:r>
      <w:r w:rsidRPr="00BE5369">
        <w:rPr>
          <w:rFonts w:ascii="Arial" w:hAnsi="Arial" w:cs="Arial"/>
          <w:i/>
          <w:iCs/>
          <w:noProof/>
          <w:szCs w:val="24"/>
          <w:lang w:val="de-DE"/>
        </w:rPr>
        <w:t>3</w:t>
      </w:r>
      <w:r w:rsidRPr="00BE5369">
        <w:rPr>
          <w:rFonts w:ascii="Arial" w:hAnsi="Arial" w:cs="Arial"/>
          <w:noProof/>
          <w:szCs w:val="24"/>
          <w:lang w:val="de-DE"/>
        </w:rPr>
        <w:t>, 2261.</w:t>
      </w:r>
    </w:p>
    <w:p w:rsidR="005104B9" w:rsidRPr="005104B9" w:rsidRDefault="005104B9" w:rsidP="005104B9">
      <w:pPr>
        <w:widowControl w:val="0"/>
        <w:autoSpaceDE w:val="0"/>
        <w:autoSpaceDN w:val="0"/>
        <w:adjustRightInd w:val="0"/>
        <w:spacing w:after="0"/>
        <w:ind w:left="640" w:hanging="640"/>
        <w:rPr>
          <w:rFonts w:ascii="Arial" w:hAnsi="Arial" w:cs="Arial"/>
          <w:noProof/>
        </w:rPr>
      </w:pPr>
      <w:r w:rsidRPr="00BE5369">
        <w:rPr>
          <w:rFonts w:ascii="Arial" w:hAnsi="Arial" w:cs="Arial"/>
          <w:noProof/>
          <w:szCs w:val="24"/>
          <w:lang w:val="de-DE"/>
        </w:rPr>
        <w:t>[8]</w:t>
      </w:r>
      <w:r w:rsidRPr="00BE5369">
        <w:rPr>
          <w:rFonts w:ascii="Arial" w:hAnsi="Arial" w:cs="Arial"/>
          <w:noProof/>
          <w:szCs w:val="24"/>
          <w:lang w:val="de-DE"/>
        </w:rPr>
        <w:tab/>
        <w:t xml:space="preserve">A. Neumann, T. R. Hamann, T. Danner, S. Hein, K. Becker-Steinberger, E. Wachsman, A. Latz, </w:t>
      </w:r>
      <w:r w:rsidRPr="00BE5369">
        <w:rPr>
          <w:rFonts w:ascii="Arial" w:hAnsi="Arial" w:cs="Arial"/>
          <w:i/>
          <w:iCs/>
          <w:noProof/>
          <w:szCs w:val="24"/>
          <w:lang w:val="de-DE"/>
        </w:rPr>
        <w:t xml:space="preserve">ACS Appl. </w:t>
      </w:r>
      <w:r w:rsidRPr="005104B9">
        <w:rPr>
          <w:rFonts w:ascii="Arial" w:hAnsi="Arial" w:cs="Arial"/>
          <w:i/>
          <w:iCs/>
          <w:noProof/>
          <w:szCs w:val="24"/>
        </w:rPr>
        <w:t>Energy Mater.</w:t>
      </w:r>
      <w:r w:rsidRPr="005104B9">
        <w:rPr>
          <w:rFonts w:ascii="Arial" w:hAnsi="Arial" w:cs="Arial"/>
          <w:noProof/>
          <w:szCs w:val="24"/>
        </w:rPr>
        <w:t xml:space="preserve"> </w:t>
      </w:r>
      <w:r w:rsidRPr="005104B9">
        <w:rPr>
          <w:rFonts w:ascii="Arial" w:hAnsi="Arial" w:cs="Arial"/>
          <w:b/>
          <w:bCs/>
          <w:noProof/>
          <w:szCs w:val="24"/>
        </w:rPr>
        <w:t>2021</w:t>
      </w:r>
      <w:r w:rsidRPr="005104B9">
        <w:rPr>
          <w:rFonts w:ascii="Arial" w:hAnsi="Arial" w:cs="Arial"/>
          <w:noProof/>
          <w:szCs w:val="24"/>
        </w:rPr>
        <w:t xml:space="preserve">, </w:t>
      </w:r>
      <w:r w:rsidRPr="005104B9">
        <w:rPr>
          <w:rFonts w:ascii="Arial" w:hAnsi="Arial" w:cs="Arial"/>
          <w:i/>
          <w:iCs/>
          <w:noProof/>
          <w:szCs w:val="24"/>
        </w:rPr>
        <w:t>4</w:t>
      </w:r>
      <w:r w:rsidRPr="005104B9">
        <w:rPr>
          <w:rFonts w:ascii="Arial" w:hAnsi="Arial" w:cs="Arial"/>
          <w:noProof/>
          <w:szCs w:val="24"/>
        </w:rPr>
        <w:t>, 4786–4804.</w:t>
      </w:r>
    </w:p>
    <w:p w:rsidR="00350B90" w:rsidRPr="004F41FF" w:rsidRDefault="003479B2" w:rsidP="00350B90">
      <w:pPr>
        <w:widowControl w:val="0"/>
        <w:autoSpaceDE w:val="0"/>
        <w:autoSpaceDN w:val="0"/>
        <w:adjustRightInd w:val="0"/>
        <w:spacing w:after="0"/>
        <w:ind w:left="640" w:hanging="640"/>
        <w:rPr>
          <w:rFonts w:ascii="Arial" w:hAnsi="Arial" w:cs="Arial"/>
          <w:szCs w:val="18"/>
        </w:rPr>
      </w:pPr>
      <w:r w:rsidRPr="004F41FF">
        <w:rPr>
          <w:rFonts w:ascii="Arial" w:hAnsi="Arial" w:cs="Arial"/>
          <w:szCs w:val="18"/>
        </w:rPr>
        <w:fldChar w:fldCharType="end"/>
      </w:r>
    </w:p>
    <w:sectPr w:rsidR="00350B90" w:rsidRPr="004F41FF" w:rsidSect="004F41FF">
      <w:pgSz w:w="11906" w:h="16838"/>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DB" w:rsidRDefault="002B34DB" w:rsidP="007E6075">
      <w:pPr>
        <w:spacing w:after="0"/>
      </w:pPr>
      <w:r>
        <w:separator/>
      </w:r>
    </w:p>
  </w:endnote>
  <w:endnote w:type="continuationSeparator" w:id="0">
    <w:p w:rsidR="002B34DB" w:rsidRDefault="002B34DB" w:rsidP="007E60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DB" w:rsidRDefault="002B34DB" w:rsidP="007E6075">
      <w:pPr>
        <w:spacing w:after="0"/>
      </w:pPr>
      <w:r>
        <w:separator/>
      </w:r>
    </w:p>
  </w:footnote>
  <w:footnote w:type="continuationSeparator" w:id="0">
    <w:p w:rsidR="002B34DB" w:rsidRDefault="002B34DB" w:rsidP="007E60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F3D8F"/>
    <w:multiLevelType w:val="hybridMultilevel"/>
    <w:tmpl w:val="B166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66DEC"/>
    <w:multiLevelType w:val="hybridMultilevel"/>
    <w:tmpl w:val="E012C1F4"/>
    <w:lvl w:ilvl="0" w:tplc="B780462E">
      <w:start w:val="1"/>
      <w:numFmt w:val="bullet"/>
      <w:lvlText w:val=""/>
      <w:lvlJc w:val="left"/>
      <w:pPr>
        <w:ind w:left="720" w:hanging="360"/>
      </w:pPr>
      <w:rPr>
        <w:rFonts w:ascii="Symbol" w:hAnsi="Symbol" w:hint="default"/>
        <w:spacing w:val="0"/>
        <w:w w:val="100"/>
        <w:kern w:val="0"/>
        <w:position w:val="0"/>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77E57"/>
    <w:multiLevelType w:val="hybridMultilevel"/>
    <w:tmpl w:val="3C64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A232D"/>
    <w:multiLevelType w:val="hybridMultilevel"/>
    <w:tmpl w:val="4FB42800"/>
    <w:lvl w:ilvl="0" w:tplc="F99A39D6">
      <w:start w:val="1"/>
      <w:numFmt w:val="bullet"/>
      <w:pStyle w:val="ListParagraph"/>
      <w:lvlText w:val=""/>
      <w:lvlJc w:val="left"/>
      <w:pPr>
        <w:ind w:left="360" w:hanging="360"/>
      </w:pPr>
      <w:rPr>
        <w:rFonts w:ascii="Symbol" w:hAnsi="Symbol" w:hint="default"/>
        <w:spacing w:val="0"/>
        <w:w w:val="100"/>
        <w:ker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75"/>
    <w:rsid w:val="00034B1D"/>
    <w:rsid w:val="00061379"/>
    <w:rsid w:val="000A1E1D"/>
    <w:rsid w:val="000A487E"/>
    <w:rsid w:val="000F2441"/>
    <w:rsid w:val="000F62FF"/>
    <w:rsid w:val="000F70DD"/>
    <w:rsid w:val="00113C47"/>
    <w:rsid w:val="00185718"/>
    <w:rsid w:val="00190102"/>
    <w:rsid w:val="001B1047"/>
    <w:rsid w:val="001D067C"/>
    <w:rsid w:val="00203AA1"/>
    <w:rsid w:val="00251378"/>
    <w:rsid w:val="002654D9"/>
    <w:rsid w:val="002A003E"/>
    <w:rsid w:val="002B34DB"/>
    <w:rsid w:val="002E11B6"/>
    <w:rsid w:val="00301A5B"/>
    <w:rsid w:val="003077D9"/>
    <w:rsid w:val="00317AD7"/>
    <w:rsid w:val="00342251"/>
    <w:rsid w:val="003479B2"/>
    <w:rsid w:val="00350B90"/>
    <w:rsid w:val="00393584"/>
    <w:rsid w:val="003A2F95"/>
    <w:rsid w:val="003A6117"/>
    <w:rsid w:val="003B57B8"/>
    <w:rsid w:val="003C311A"/>
    <w:rsid w:val="003E24C9"/>
    <w:rsid w:val="00416034"/>
    <w:rsid w:val="0043173E"/>
    <w:rsid w:val="00466025"/>
    <w:rsid w:val="00466B5B"/>
    <w:rsid w:val="00466CA4"/>
    <w:rsid w:val="00471E64"/>
    <w:rsid w:val="0048789C"/>
    <w:rsid w:val="004E7742"/>
    <w:rsid w:val="004F41FF"/>
    <w:rsid w:val="00503B08"/>
    <w:rsid w:val="00505EB8"/>
    <w:rsid w:val="005104B9"/>
    <w:rsid w:val="0053253D"/>
    <w:rsid w:val="00552157"/>
    <w:rsid w:val="00555706"/>
    <w:rsid w:val="00563586"/>
    <w:rsid w:val="00572D57"/>
    <w:rsid w:val="0058393B"/>
    <w:rsid w:val="005874BE"/>
    <w:rsid w:val="005C3289"/>
    <w:rsid w:val="005D4426"/>
    <w:rsid w:val="005D5840"/>
    <w:rsid w:val="005E6D5F"/>
    <w:rsid w:val="005E79EB"/>
    <w:rsid w:val="006156CC"/>
    <w:rsid w:val="0063457B"/>
    <w:rsid w:val="00645B05"/>
    <w:rsid w:val="00650A14"/>
    <w:rsid w:val="00652981"/>
    <w:rsid w:val="0065643F"/>
    <w:rsid w:val="0069271F"/>
    <w:rsid w:val="00694220"/>
    <w:rsid w:val="006A1FAA"/>
    <w:rsid w:val="006A364B"/>
    <w:rsid w:val="006B0325"/>
    <w:rsid w:val="006B0D76"/>
    <w:rsid w:val="00720B5B"/>
    <w:rsid w:val="007263E4"/>
    <w:rsid w:val="00741569"/>
    <w:rsid w:val="00750782"/>
    <w:rsid w:val="007649FD"/>
    <w:rsid w:val="00772A00"/>
    <w:rsid w:val="007C02C6"/>
    <w:rsid w:val="007C2CFB"/>
    <w:rsid w:val="007D1622"/>
    <w:rsid w:val="007E6075"/>
    <w:rsid w:val="007E7649"/>
    <w:rsid w:val="007F2025"/>
    <w:rsid w:val="007F2476"/>
    <w:rsid w:val="00811FE7"/>
    <w:rsid w:val="00811FEB"/>
    <w:rsid w:val="0082627D"/>
    <w:rsid w:val="00833C86"/>
    <w:rsid w:val="008451A5"/>
    <w:rsid w:val="00850212"/>
    <w:rsid w:val="0088238A"/>
    <w:rsid w:val="008B182C"/>
    <w:rsid w:val="008C69D1"/>
    <w:rsid w:val="008D0BE5"/>
    <w:rsid w:val="008D122F"/>
    <w:rsid w:val="008D524C"/>
    <w:rsid w:val="00914534"/>
    <w:rsid w:val="00915D24"/>
    <w:rsid w:val="0092704E"/>
    <w:rsid w:val="009374F4"/>
    <w:rsid w:val="009379A5"/>
    <w:rsid w:val="0096376C"/>
    <w:rsid w:val="00972BFA"/>
    <w:rsid w:val="0097504F"/>
    <w:rsid w:val="0097714B"/>
    <w:rsid w:val="009921D2"/>
    <w:rsid w:val="009D1749"/>
    <w:rsid w:val="009E38FD"/>
    <w:rsid w:val="00A01EB5"/>
    <w:rsid w:val="00A30BE0"/>
    <w:rsid w:val="00A31483"/>
    <w:rsid w:val="00A63E21"/>
    <w:rsid w:val="00A67A27"/>
    <w:rsid w:val="00AE2455"/>
    <w:rsid w:val="00B44A39"/>
    <w:rsid w:val="00B616B1"/>
    <w:rsid w:val="00B6706F"/>
    <w:rsid w:val="00BA0227"/>
    <w:rsid w:val="00BE00DC"/>
    <w:rsid w:val="00BE5369"/>
    <w:rsid w:val="00C22B9C"/>
    <w:rsid w:val="00C346B7"/>
    <w:rsid w:val="00C50FE5"/>
    <w:rsid w:val="00CA0F53"/>
    <w:rsid w:val="00CB64A3"/>
    <w:rsid w:val="00CD054E"/>
    <w:rsid w:val="00CD29E2"/>
    <w:rsid w:val="00CD49EA"/>
    <w:rsid w:val="00CE114A"/>
    <w:rsid w:val="00CF5D1F"/>
    <w:rsid w:val="00D12317"/>
    <w:rsid w:val="00D53389"/>
    <w:rsid w:val="00D55163"/>
    <w:rsid w:val="00D860AA"/>
    <w:rsid w:val="00D90A73"/>
    <w:rsid w:val="00DD165F"/>
    <w:rsid w:val="00DD61E3"/>
    <w:rsid w:val="00E069EC"/>
    <w:rsid w:val="00E30850"/>
    <w:rsid w:val="00E42DA9"/>
    <w:rsid w:val="00E9236F"/>
    <w:rsid w:val="00EC4FCB"/>
    <w:rsid w:val="00EF2BF2"/>
    <w:rsid w:val="00EF538B"/>
    <w:rsid w:val="00F33EC7"/>
    <w:rsid w:val="00F51AF8"/>
    <w:rsid w:val="00F60CCD"/>
    <w:rsid w:val="00F72FBD"/>
    <w:rsid w:val="00F75BBE"/>
    <w:rsid w:val="00F849F6"/>
    <w:rsid w:val="00F95A81"/>
    <w:rsid w:val="00FA6472"/>
    <w:rsid w:val="00FB3F6D"/>
    <w:rsid w:val="00FF2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94EF82-FE4C-4CFC-A517-4E35D632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1D"/>
    <w:pPr>
      <w:spacing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0A1E1D"/>
    <w:pPr>
      <w:keepNext/>
      <w:keepLines/>
      <w:spacing w:before="240" w:after="240"/>
      <w:outlineLvl w:val="0"/>
    </w:pPr>
    <w:rPr>
      <w:rFonts w:eastAsiaTheme="majorEastAsia"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075"/>
    <w:pPr>
      <w:tabs>
        <w:tab w:val="center" w:pos="4513"/>
        <w:tab w:val="right" w:pos="9026"/>
      </w:tabs>
      <w:spacing w:after="0"/>
    </w:pPr>
  </w:style>
  <w:style w:type="character" w:customStyle="1" w:styleId="HeaderChar">
    <w:name w:val="Header Char"/>
    <w:basedOn w:val="DefaultParagraphFont"/>
    <w:link w:val="Header"/>
    <w:uiPriority w:val="99"/>
    <w:rsid w:val="007E6075"/>
  </w:style>
  <w:style w:type="paragraph" w:styleId="Footer">
    <w:name w:val="footer"/>
    <w:basedOn w:val="Normal"/>
    <w:link w:val="FooterChar"/>
    <w:uiPriority w:val="99"/>
    <w:unhideWhenUsed/>
    <w:rsid w:val="007E6075"/>
    <w:pPr>
      <w:tabs>
        <w:tab w:val="center" w:pos="4513"/>
        <w:tab w:val="right" w:pos="9026"/>
      </w:tabs>
      <w:spacing w:after="0"/>
    </w:pPr>
  </w:style>
  <w:style w:type="character" w:customStyle="1" w:styleId="FooterChar">
    <w:name w:val="Footer Char"/>
    <w:basedOn w:val="DefaultParagraphFont"/>
    <w:link w:val="Footer"/>
    <w:uiPriority w:val="99"/>
    <w:rsid w:val="007E6075"/>
  </w:style>
  <w:style w:type="paragraph" w:styleId="Title">
    <w:name w:val="Title"/>
    <w:basedOn w:val="Normal"/>
    <w:next w:val="Normal"/>
    <w:link w:val="TitleChar"/>
    <w:uiPriority w:val="10"/>
    <w:qFormat/>
    <w:rsid w:val="00D55163"/>
    <w:pPr>
      <w:spacing w:before="360" w:after="360"/>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D55163"/>
    <w:rPr>
      <w:rFonts w:asciiTheme="majorHAnsi" w:eastAsiaTheme="majorEastAsia" w:hAnsiTheme="majorHAnsi" w:cstheme="majorBidi"/>
      <w:b/>
      <w:spacing w:val="-10"/>
      <w:kern w:val="28"/>
      <w:sz w:val="32"/>
      <w:szCs w:val="56"/>
    </w:rPr>
  </w:style>
  <w:style w:type="paragraph" w:styleId="NoSpacing">
    <w:name w:val="No Spacing"/>
    <w:aliases w:val="Italic"/>
    <w:basedOn w:val="Normal"/>
    <w:uiPriority w:val="1"/>
    <w:qFormat/>
    <w:rsid w:val="007E6075"/>
    <w:pPr>
      <w:spacing w:after="0"/>
    </w:pPr>
    <w:rPr>
      <w:i/>
    </w:rPr>
  </w:style>
  <w:style w:type="character" w:customStyle="1" w:styleId="Heading1Char">
    <w:name w:val="Heading 1 Char"/>
    <w:basedOn w:val="DefaultParagraphFont"/>
    <w:link w:val="Heading1"/>
    <w:uiPriority w:val="9"/>
    <w:rsid w:val="000A1E1D"/>
    <w:rPr>
      <w:rFonts w:ascii="Times New Roman" w:eastAsiaTheme="majorEastAsia" w:hAnsi="Times New Roman" w:cstheme="majorBidi"/>
      <w:b/>
      <w:color w:val="000000" w:themeColor="text1"/>
      <w:szCs w:val="32"/>
    </w:rPr>
  </w:style>
  <w:style w:type="table" w:styleId="TableGrid">
    <w:name w:val="Table Grid"/>
    <w:basedOn w:val="TableNormal"/>
    <w:uiPriority w:val="39"/>
    <w:rsid w:val="000A1E1D"/>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StylePr>
  </w:style>
  <w:style w:type="table" w:customStyle="1" w:styleId="Style1">
    <w:name w:val="Style1"/>
    <w:basedOn w:val="TableNormal"/>
    <w:uiPriority w:val="99"/>
    <w:rsid w:val="00833C86"/>
    <w:pPr>
      <w:spacing w:after="0" w:line="240" w:lineRule="auto"/>
    </w:pPr>
    <w:rPr>
      <w:rFonts w:ascii="Times New Roman" w:hAnsi="Times New Roman"/>
      <w:sz w:val="20"/>
    </w:rPr>
    <w:tblPr>
      <w:tblBorders>
        <w:top w:val="single" w:sz="4" w:space="0" w:color="auto"/>
        <w:bottom w:val="single" w:sz="4" w:space="0" w:color="auto"/>
        <w:insideH w:val="single" w:sz="4" w:space="0" w:color="auto"/>
        <w:insideV w:val="single" w:sz="4" w:space="0" w:color="auto"/>
      </w:tblBorders>
    </w:tblPr>
    <w:tblStylePr w:type="firstRow">
      <w:pPr>
        <w:wordWrap/>
        <w:jc w:val="left"/>
      </w:pPr>
      <w:rPr>
        <w:rFonts w:ascii="Times New Roman" w:hAnsi="Times New Roman"/>
        <w:b/>
        <w:i/>
        <w:sz w:val="22"/>
      </w:rPr>
      <w:tblPr/>
      <w:tcPr>
        <w:tcBorders>
          <w:top w:val="nil"/>
          <w:left w:val="nil"/>
          <w:bottom w:val="double" w:sz="4" w:space="0" w:color="auto"/>
          <w:right w:val="nil"/>
          <w:insideH w:val="nil"/>
          <w:insideV w:val="single" w:sz="4" w:space="0" w:color="auto"/>
          <w:tl2br w:val="nil"/>
          <w:tr2bl w:val="nil"/>
        </w:tcBorders>
      </w:tcPr>
    </w:tblStylePr>
  </w:style>
  <w:style w:type="paragraph" w:styleId="ListParagraph">
    <w:name w:val="List Paragraph"/>
    <w:basedOn w:val="Normal"/>
    <w:uiPriority w:val="34"/>
    <w:qFormat/>
    <w:rsid w:val="008D524C"/>
    <w:pPr>
      <w:numPr>
        <w:numId w:val="3"/>
      </w:numPr>
      <w:spacing w:after="0"/>
      <w:ind w:left="170" w:hanging="170"/>
      <w:contextualSpacing/>
      <w:jc w:val="left"/>
    </w:pPr>
  </w:style>
  <w:style w:type="paragraph" w:customStyle="1" w:styleId="References">
    <w:name w:val="References"/>
    <w:basedOn w:val="Normal"/>
    <w:link w:val="ReferencesChar"/>
    <w:qFormat/>
    <w:rsid w:val="006A364B"/>
    <w:pPr>
      <w:spacing w:after="40"/>
      <w:jc w:val="left"/>
    </w:pPr>
    <w:rPr>
      <w:sz w:val="18"/>
    </w:rPr>
  </w:style>
  <w:style w:type="character" w:customStyle="1" w:styleId="ReferencesChar">
    <w:name w:val="References Char"/>
    <w:basedOn w:val="DefaultParagraphFont"/>
    <w:link w:val="References"/>
    <w:rsid w:val="006A364B"/>
    <w:rPr>
      <w:rFonts w:ascii="Times New Roman" w:hAnsi="Times New Roman"/>
      <w:sz w:val="18"/>
    </w:rPr>
  </w:style>
  <w:style w:type="character" w:styleId="CommentReference">
    <w:name w:val="annotation reference"/>
    <w:basedOn w:val="DefaultParagraphFont"/>
    <w:uiPriority w:val="99"/>
    <w:semiHidden/>
    <w:unhideWhenUsed/>
    <w:rsid w:val="00811FE7"/>
    <w:rPr>
      <w:sz w:val="16"/>
      <w:szCs w:val="16"/>
    </w:rPr>
  </w:style>
  <w:style w:type="paragraph" w:styleId="CommentText">
    <w:name w:val="annotation text"/>
    <w:basedOn w:val="Normal"/>
    <w:link w:val="CommentTextChar"/>
    <w:uiPriority w:val="99"/>
    <w:semiHidden/>
    <w:unhideWhenUsed/>
    <w:rsid w:val="00811FE7"/>
    <w:rPr>
      <w:szCs w:val="20"/>
    </w:rPr>
  </w:style>
  <w:style w:type="character" w:customStyle="1" w:styleId="CommentTextChar">
    <w:name w:val="Comment Text Char"/>
    <w:basedOn w:val="DefaultParagraphFont"/>
    <w:link w:val="CommentText"/>
    <w:uiPriority w:val="99"/>
    <w:semiHidden/>
    <w:rsid w:val="00811F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1FE7"/>
    <w:rPr>
      <w:b/>
      <w:bCs/>
    </w:rPr>
  </w:style>
  <w:style w:type="character" w:customStyle="1" w:styleId="CommentSubjectChar">
    <w:name w:val="Comment Subject Char"/>
    <w:basedOn w:val="CommentTextChar"/>
    <w:link w:val="CommentSubject"/>
    <w:uiPriority w:val="99"/>
    <w:semiHidden/>
    <w:rsid w:val="00811FE7"/>
    <w:rPr>
      <w:rFonts w:ascii="Times New Roman" w:hAnsi="Times New Roman"/>
      <w:b/>
      <w:bCs/>
      <w:sz w:val="20"/>
      <w:szCs w:val="20"/>
    </w:rPr>
  </w:style>
  <w:style w:type="paragraph" w:styleId="BalloonText">
    <w:name w:val="Balloon Text"/>
    <w:basedOn w:val="Normal"/>
    <w:link w:val="BalloonTextChar"/>
    <w:uiPriority w:val="99"/>
    <w:semiHidden/>
    <w:unhideWhenUsed/>
    <w:rsid w:val="00811F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FE7"/>
    <w:rPr>
      <w:rFonts w:ascii="Tahoma" w:hAnsi="Tahoma" w:cs="Tahoma"/>
      <w:sz w:val="16"/>
      <w:szCs w:val="16"/>
    </w:rPr>
  </w:style>
  <w:style w:type="character" w:styleId="Hyperlink">
    <w:name w:val="Hyperlink"/>
    <w:basedOn w:val="DefaultParagraphFont"/>
    <w:uiPriority w:val="99"/>
    <w:unhideWhenUsed/>
    <w:rsid w:val="00A67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78FC-BD8C-4C60-97C8-653F3E88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3764</Words>
  <Characters>21457</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Eisenmann</dc:creator>
  <cp:lastModifiedBy>Tugce Ates</cp:lastModifiedBy>
  <cp:revision>3</cp:revision>
  <dcterms:created xsi:type="dcterms:W3CDTF">2021-10-28T07:21:00Z</dcterms:created>
  <dcterms:modified xsi:type="dcterms:W3CDTF">2021-10-28T07:21:00Z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0cfa8203-b0b7-3720-820e-6f046eb51a8f</vt:lpwstr>
  </property>
  <property fmtid="{D5CDD505-2E9C-101B-9397-08002B2CF9AE}" pid="4" name="Mendeley Citation Style_1">
    <vt:lpwstr>http://www.zotero.org/styles/angewandte-chemie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http://www.zotero.org/styles/angewandte-chemie</vt:lpwstr>
  </property>
  <property fmtid="{D5CDD505-2E9C-101B-9397-08002B2CF9AE}" pid="10" name="Mendeley Recent Style Name 2_1">
    <vt:lpwstr>Angewandte Chemie International Edition</vt:lpwstr>
  </property>
  <property fmtid="{D5CDD505-2E9C-101B-9397-08002B2CF9AE}" pid="11" name="Mendeley Recent Style Id 3_1">
    <vt:lpwstr>http://www.zotero.org/styles/elsevier-with-titles</vt:lpwstr>
  </property>
  <property fmtid="{D5CDD505-2E9C-101B-9397-08002B2CF9AE}" pid="12" name="Mendeley Recent Style Name 3_1">
    <vt:lpwstr>Elsevier (numeric, with titles)</vt:lpwstr>
  </property>
  <property fmtid="{D5CDD505-2E9C-101B-9397-08002B2CF9AE}" pid="13" name="Mendeley Recent Style Id 4_1">
    <vt:lpwstr>http://www.zotero.org/styles/elsevier-with-titles-alphabetical</vt:lpwstr>
  </property>
  <property fmtid="{D5CDD505-2E9C-101B-9397-08002B2CF9AE}" pid="14" name="Mendeley Recent Style Name 4_1">
    <vt:lpwstr>Elsevier (numeric, with titles, sorted alphabetically)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