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6274" w14:textId="77777777" w:rsidR="00AA4B3B" w:rsidRDefault="00A70350" w:rsidP="004C347C">
      <w:pPr>
        <w:jc w:val="center"/>
        <w:rPr>
          <w:rFonts w:ascii="Arial" w:hAnsi="Arial" w:cs="Arial"/>
          <w:b/>
          <w:bCs/>
          <w:sz w:val="28"/>
          <w:szCs w:val="28"/>
          <w:lang w:val="en-US"/>
        </w:rPr>
      </w:pPr>
      <w:bookmarkStart w:id="0" w:name="_Hlk22741587"/>
      <w:r>
        <w:rPr>
          <w:rFonts w:ascii="Arial" w:hAnsi="Arial" w:cs="Arial"/>
          <w:b/>
          <w:bCs/>
          <w:sz w:val="28"/>
          <w:szCs w:val="28"/>
          <w:lang w:val="en-US"/>
        </w:rPr>
        <w:t>Electrolyte degradation –</w:t>
      </w:r>
      <w:r w:rsidR="00AA4B3B">
        <w:rPr>
          <w:rFonts w:ascii="Arial" w:hAnsi="Arial" w:cs="Arial"/>
          <w:b/>
          <w:bCs/>
          <w:sz w:val="28"/>
          <w:szCs w:val="28"/>
          <w:lang w:val="en-US"/>
        </w:rPr>
        <w:t xml:space="preserve"> </w:t>
      </w:r>
    </w:p>
    <w:p w14:paraId="3CB2E3D4" w14:textId="3904062B" w:rsidR="00CF6ABD" w:rsidRPr="00AA0CA2" w:rsidRDefault="00AA4B3B" w:rsidP="004C347C">
      <w:pPr>
        <w:jc w:val="center"/>
        <w:rPr>
          <w:rFonts w:ascii="Arial" w:hAnsi="Arial" w:cs="Arial"/>
          <w:b/>
          <w:bCs/>
          <w:sz w:val="28"/>
          <w:szCs w:val="28"/>
          <w:lang w:val="en-US"/>
        </w:rPr>
      </w:pPr>
      <w:r>
        <w:rPr>
          <w:rFonts w:ascii="Arial" w:hAnsi="Arial" w:cs="Arial"/>
          <w:b/>
          <w:bCs/>
          <w:sz w:val="28"/>
          <w:szCs w:val="28"/>
          <w:lang w:val="en-US"/>
        </w:rPr>
        <w:t>Additives a</w:t>
      </w:r>
      <w:r w:rsidR="00A70350">
        <w:rPr>
          <w:rFonts w:ascii="Arial" w:hAnsi="Arial" w:cs="Arial"/>
          <w:b/>
          <w:bCs/>
          <w:sz w:val="28"/>
          <w:szCs w:val="28"/>
          <w:lang w:val="en-US"/>
        </w:rPr>
        <w:t>nd</w:t>
      </w:r>
      <w:r>
        <w:rPr>
          <w:rFonts w:ascii="Arial" w:hAnsi="Arial" w:cs="Arial"/>
          <w:b/>
          <w:bCs/>
          <w:sz w:val="28"/>
          <w:szCs w:val="28"/>
          <w:lang w:val="en-US"/>
        </w:rPr>
        <w:t xml:space="preserve"> their</w:t>
      </w:r>
      <w:r w:rsidR="00A70350">
        <w:rPr>
          <w:rFonts w:ascii="Arial" w:hAnsi="Arial" w:cs="Arial"/>
          <w:b/>
          <w:bCs/>
          <w:sz w:val="28"/>
          <w:szCs w:val="28"/>
          <w:lang w:val="en-US"/>
        </w:rPr>
        <w:t xml:space="preserve"> impacts on cell performance</w:t>
      </w:r>
    </w:p>
    <w:p w14:paraId="6127B03A" w14:textId="0EDFD815" w:rsidR="00AA0CA2" w:rsidRPr="00AA0CA2" w:rsidRDefault="00AA4B3B" w:rsidP="00AA0CA2">
      <w:pPr>
        <w:jc w:val="center"/>
        <w:rPr>
          <w:rFonts w:ascii="Arial" w:hAnsi="Arial" w:cs="Arial"/>
          <w:vertAlign w:val="superscript"/>
        </w:rPr>
      </w:pPr>
      <w:r>
        <w:rPr>
          <w:rFonts w:ascii="Arial" w:hAnsi="Arial" w:cs="Arial"/>
          <w:u w:val="single"/>
        </w:rPr>
        <w:t>Sebastian Klick</w:t>
      </w:r>
      <w:r w:rsidR="00AA0CA2" w:rsidRPr="00AA0CA2">
        <w:rPr>
          <w:rFonts w:ascii="Arial" w:hAnsi="Arial" w:cs="Arial"/>
          <w:vertAlign w:val="superscript"/>
        </w:rPr>
        <w:t>1,2</w:t>
      </w:r>
      <w:r w:rsidR="00AB7B7E">
        <w:rPr>
          <w:rFonts w:ascii="Arial" w:hAnsi="Arial" w:cs="Arial"/>
        </w:rPr>
        <w:t>,</w:t>
      </w:r>
      <w:r>
        <w:rPr>
          <w:rFonts w:ascii="Arial" w:hAnsi="Arial" w:cs="Arial"/>
        </w:rPr>
        <w:t xml:space="preserve"> Martin Graff</w:t>
      </w:r>
      <w:r w:rsidR="007D1FE0">
        <w:rPr>
          <w:rFonts w:ascii="Arial" w:hAnsi="Arial" w:cs="Arial"/>
          <w:vertAlign w:val="superscript"/>
        </w:rPr>
        <w:t>4</w:t>
      </w:r>
      <w:r w:rsidRPr="00AA0CA2">
        <w:rPr>
          <w:rFonts w:ascii="Arial" w:hAnsi="Arial" w:cs="Arial"/>
          <w:vertAlign w:val="superscript"/>
        </w:rPr>
        <w:t>,</w:t>
      </w:r>
      <w:proofErr w:type="gramStart"/>
      <w:r w:rsidRPr="00AA0CA2">
        <w:rPr>
          <w:rFonts w:ascii="Arial" w:hAnsi="Arial" w:cs="Arial"/>
          <w:vertAlign w:val="superscript"/>
        </w:rPr>
        <w:t>2</w:t>
      </w:r>
      <w:r>
        <w:rPr>
          <w:rFonts w:ascii="Arial" w:hAnsi="Arial" w:cs="Arial"/>
        </w:rPr>
        <w:t>,Fabian</w:t>
      </w:r>
      <w:proofErr w:type="gramEnd"/>
      <w:r>
        <w:rPr>
          <w:rFonts w:ascii="Arial" w:hAnsi="Arial" w:cs="Arial"/>
        </w:rPr>
        <w:t xml:space="preserve"> Frie</w:t>
      </w:r>
      <w:r w:rsidRPr="00AA0CA2">
        <w:rPr>
          <w:rFonts w:ascii="Arial" w:hAnsi="Arial" w:cs="Arial"/>
          <w:vertAlign w:val="superscript"/>
        </w:rPr>
        <w:t>1,2</w:t>
      </w:r>
      <w:r>
        <w:rPr>
          <w:rFonts w:ascii="Arial" w:hAnsi="Arial" w:cs="Arial"/>
        </w:rPr>
        <w:t xml:space="preserve">, </w:t>
      </w:r>
      <w:r w:rsidR="00AA0CA2" w:rsidRPr="00AA0CA2">
        <w:rPr>
          <w:rFonts w:ascii="Arial" w:hAnsi="Arial" w:cs="Arial"/>
        </w:rPr>
        <w:t>Dirk Uwe Sauer</w:t>
      </w:r>
      <w:r w:rsidR="00AA0CA2" w:rsidRPr="00AA0CA2">
        <w:rPr>
          <w:rFonts w:ascii="Arial" w:hAnsi="Arial" w:cs="Arial"/>
          <w:vertAlign w:val="superscript"/>
        </w:rPr>
        <w:t>1,2,</w:t>
      </w:r>
      <w:r w:rsidR="00B0105C">
        <w:rPr>
          <w:rFonts w:ascii="Arial" w:hAnsi="Arial" w:cs="Arial"/>
          <w:vertAlign w:val="superscript"/>
        </w:rPr>
        <w:t>3</w:t>
      </w:r>
    </w:p>
    <w:p w14:paraId="4AA08C4B" w14:textId="77777777" w:rsidR="00AA0CA2" w:rsidRPr="00AA0CA2" w:rsidRDefault="00AA0CA2" w:rsidP="00AA0CA2">
      <w:pPr>
        <w:jc w:val="center"/>
        <w:rPr>
          <w:rFonts w:ascii="Arial" w:hAnsi="Arial" w:cs="Arial"/>
        </w:rPr>
      </w:pPr>
    </w:p>
    <w:p w14:paraId="0C32F051" w14:textId="77777777" w:rsidR="00AA0CA2" w:rsidRPr="00AA0CA2" w:rsidRDefault="00AA0CA2" w:rsidP="00AA0CA2">
      <w:pPr>
        <w:jc w:val="center"/>
        <w:rPr>
          <w:rFonts w:ascii="Arial" w:hAnsi="Arial" w:cs="Arial"/>
          <w:lang w:val="en-US"/>
        </w:rPr>
      </w:pPr>
      <w:r w:rsidRPr="00AA0CA2">
        <w:rPr>
          <w:rFonts w:ascii="Arial" w:hAnsi="Arial" w:cs="Arial"/>
          <w:vertAlign w:val="superscript"/>
          <w:lang w:val="en-US"/>
        </w:rPr>
        <w:t>1</w:t>
      </w:r>
      <w:r w:rsidRPr="00AA0CA2">
        <w:rPr>
          <w:rFonts w:ascii="Arial" w:hAnsi="Arial" w:cs="Arial"/>
          <w:lang w:val="en-US"/>
        </w:rPr>
        <w:t>Chair for Electrochemical Energy Conversion and Storage Systems, Institute for Power Electronics and Electrical Drives (ISEA), RWTH Aachen University, Jägerstrasse 17-19, 52066 Aachen, Germany</w:t>
      </w:r>
    </w:p>
    <w:p w14:paraId="4DDAF03E" w14:textId="4DFAE31E" w:rsidR="00AA0CA2" w:rsidRPr="00AA0CA2" w:rsidRDefault="00AA0CA2" w:rsidP="00B0105C">
      <w:pPr>
        <w:jc w:val="center"/>
        <w:rPr>
          <w:rFonts w:ascii="Arial" w:hAnsi="Arial" w:cs="Arial"/>
          <w:lang w:val="en-US"/>
        </w:rPr>
      </w:pPr>
      <w:r w:rsidRPr="00AA0CA2">
        <w:rPr>
          <w:rFonts w:ascii="Arial" w:hAnsi="Arial" w:cs="Arial"/>
          <w:vertAlign w:val="superscript"/>
          <w:lang w:val="en-US"/>
        </w:rPr>
        <w:t>2</w:t>
      </w:r>
      <w:r w:rsidRPr="00AA0CA2">
        <w:rPr>
          <w:rFonts w:ascii="Arial" w:hAnsi="Arial" w:cs="Arial"/>
          <w:lang w:val="en-US"/>
        </w:rPr>
        <w:t>Juelich Aachen Research Alliance, JARA-Energy, Germany</w:t>
      </w:r>
    </w:p>
    <w:p w14:paraId="62895931" w14:textId="77777777" w:rsidR="00AA0CA2" w:rsidRPr="00AA0CA2" w:rsidRDefault="00AA0CA2" w:rsidP="00AA0CA2">
      <w:pPr>
        <w:jc w:val="center"/>
        <w:rPr>
          <w:rFonts w:ascii="Arial" w:hAnsi="Arial" w:cs="Arial"/>
          <w:lang w:val="en-US"/>
        </w:rPr>
      </w:pPr>
      <w:r w:rsidRPr="00AA0CA2">
        <w:rPr>
          <w:rFonts w:ascii="Arial" w:hAnsi="Arial" w:cs="Arial"/>
          <w:vertAlign w:val="superscript"/>
          <w:lang w:val="en-US"/>
        </w:rPr>
        <w:t>3</w:t>
      </w:r>
      <w:r w:rsidRPr="00AA0CA2">
        <w:rPr>
          <w:rFonts w:ascii="Arial" w:hAnsi="Arial" w:cs="Arial"/>
          <w:lang w:val="en-US"/>
        </w:rPr>
        <w:t>Institute for Power Generation and Storage Systems (PGS) @ E.ON ERC, RWTH Aachen University, Germany</w:t>
      </w:r>
    </w:p>
    <w:p w14:paraId="78D49E58" w14:textId="77777777" w:rsidR="007D1FE0" w:rsidRDefault="007D1FE0" w:rsidP="007D1FE0">
      <w:pPr>
        <w:jc w:val="center"/>
        <w:rPr>
          <w:rFonts w:ascii="Arial" w:hAnsi="Arial" w:cs="Arial"/>
          <w:lang w:val="en-US"/>
        </w:rPr>
      </w:pPr>
      <w:r w:rsidRPr="00F23CC4">
        <w:rPr>
          <w:rFonts w:ascii="Arial" w:hAnsi="Arial" w:cs="Arial"/>
          <w:vertAlign w:val="superscript"/>
          <w:lang w:val="en-US"/>
        </w:rPr>
        <w:t>4</w:t>
      </w:r>
      <w:r w:rsidRPr="00F23CC4">
        <w:rPr>
          <w:rFonts w:ascii="Arial" w:hAnsi="Arial" w:cs="Arial"/>
          <w:lang w:val="en-US"/>
        </w:rPr>
        <w:t xml:space="preserve">Chair for Ageing and Lifetime Prediction of Batteries, Institute for Power Electronics and Electrical Drives (ISEA), RWTH Aachen University, </w:t>
      </w:r>
      <w:proofErr w:type="spellStart"/>
      <w:r w:rsidRPr="00F23CC4">
        <w:rPr>
          <w:rFonts w:ascii="Arial" w:hAnsi="Arial" w:cs="Arial"/>
          <w:lang w:val="en-US"/>
        </w:rPr>
        <w:t>Jägerstrasse</w:t>
      </w:r>
      <w:proofErr w:type="spellEnd"/>
      <w:r w:rsidRPr="00F23CC4">
        <w:rPr>
          <w:rFonts w:ascii="Arial" w:hAnsi="Arial" w:cs="Arial"/>
          <w:lang w:val="en-US"/>
        </w:rPr>
        <w:t xml:space="preserve"> 17-19, 52066 Aachen, Germany</w:t>
      </w:r>
    </w:p>
    <w:p w14:paraId="35DAFF74" w14:textId="09004EF6" w:rsidR="00BA1DA3" w:rsidRPr="00AA0CA2" w:rsidRDefault="00BA1DA3">
      <w:pPr>
        <w:rPr>
          <w:rFonts w:ascii="Arial" w:hAnsi="Arial" w:cs="Arial"/>
          <w:b/>
          <w:bCs/>
          <w:lang w:val="en-US"/>
        </w:rPr>
      </w:pPr>
    </w:p>
    <w:p w14:paraId="784C5D04" w14:textId="77777777" w:rsidR="00463A89" w:rsidRPr="00AA0CA2" w:rsidRDefault="00463A89">
      <w:pPr>
        <w:rPr>
          <w:rFonts w:ascii="Arial" w:hAnsi="Arial" w:cs="Arial"/>
          <w:b/>
          <w:bCs/>
          <w:sz w:val="24"/>
          <w:szCs w:val="24"/>
          <w:lang w:val="en-US"/>
        </w:rPr>
      </w:pPr>
    </w:p>
    <w:bookmarkEnd w:id="0"/>
    <w:p w14:paraId="7FE18AF7" w14:textId="2B6C88F4" w:rsidR="009767AA" w:rsidRPr="009767AA" w:rsidRDefault="009767AA" w:rsidP="009767AA">
      <w:pPr>
        <w:rPr>
          <w:rFonts w:ascii="Arial" w:hAnsi="Arial" w:cs="Arial"/>
          <w:noProof/>
          <w:sz w:val="24"/>
          <w:szCs w:val="24"/>
          <w:lang w:val="en-US"/>
        </w:rPr>
      </w:pPr>
      <w:r w:rsidRPr="009767AA">
        <w:rPr>
          <w:rFonts w:ascii="Arial" w:hAnsi="Arial" w:cs="Arial"/>
          <w:noProof/>
          <w:sz w:val="24"/>
          <w:szCs w:val="24"/>
          <w:lang w:val="en-US"/>
        </w:rPr>
        <w:t xml:space="preserve">Energy density and durability of </w:t>
      </w:r>
      <w:r w:rsidR="00D1486A" w:rsidRPr="009767AA">
        <w:rPr>
          <w:rFonts w:ascii="Arial" w:hAnsi="Arial" w:cs="Arial"/>
          <w:noProof/>
          <w:sz w:val="24"/>
          <w:szCs w:val="24"/>
          <w:lang w:val="en-US"/>
        </w:rPr>
        <w:t>lithium</w:t>
      </w:r>
      <w:r w:rsidR="00D1486A">
        <w:rPr>
          <w:rFonts w:ascii="Arial" w:hAnsi="Arial" w:cs="Arial"/>
          <w:noProof/>
          <w:sz w:val="24"/>
          <w:szCs w:val="24"/>
          <w:lang w:val="en-US"/>
        </w:rPr>
        <w:t>-</w:t>
      </w:r>
      <w:r w:rsidRPr="009767AA">
        <w:rPr>
          <w:rFonts w:ascii="Arial" w:hAnsi="Arial" w:cs="Arial"/>
          <w:noProof/>
          <w:sz w:val="24"/>
          <w:szCs w:val="24"/>
          <w:lang w:val="en-US"/>
        </w:rPr>
        <w:t>ion batteries improved during recent years. Among other factors</w:t>
      </w:r>
      <w:bookmarkStart w:id="1" w:name="_GoBack"/>
      <w:bookmarkEnd w:id="1"/>
      <w:r w:rsidR="00D1486A">
        <w:rPr>
          <w:rFonts w:ascii="Arial" w:hAnsi="Arial" w:cs="Arial"/>
          <w:noProof/>
          <w:sz w:val="24"/>
          <w:szCs w:val="24"/>
          <w:lang w:val="en-US"/>
        </w:rPr>
        <w:t>,</w:t>
      </w:r>
      <w:r w:rsidRPr="009767AA">
        <w:rPr>
          <w:rFonts w:ascii="Arial" w:hAnsi="Arial" w:cs="Arial"/>
          <w:noProof/>
          <w:sz w:val="24"/>
          <w:szCs w:val="24"/>
          <w:lang w:val="en-US"/>
        </w:rPr>
        <w:t xml:space="preserve"> the use of electrolyte additives contributed to a better SEI stability and thus a decreas</w:t>
      </w:r>
      <w:r>
        <w:rPr>
          <w:rFonts w:ascii="Arial" w:hAnsi="Arial" w:cs="Arial"/>
          <w:noProof/>
          <w:sz w:val="24"/>
          <w:szCs w:val="24"/>
          <w:lang w:val="en-US"/>
        </w:rPr>
        <w:t>e in loss of cycleable lithium and less</w:t>
      </w:r>
      <w:r w:rsidR="00C42C20">
        <w:rPr>
          <w:rFonts w:ascii="Arial" w:hAnsi="Arial" w:cs="Arial"/>
          <w:noProof/>
          <w:sz w:val="24"/>
          <w:szCs w:val="24"/>
          <w:lang w:val="en-US"/>
        </w:rPr>
        <w:t xml:space="preserve"> parasitic side reactions. Even though the SEI passivates the anode to a certain level, electrolyte and additives are consumed in side reactions on both anode an</w:t>
      </w:r>
      <w:r w:rsidR="00AA4B3B">
        <w:rPr>
          <w:rFonts w:ascii="Arial" w:hAnsi="Arial" w:cs="Arial"/>
          <w:noProof/>
          <w:sz w:val="24"/>
          <w:szCs w:val="24"/>
          <w:lang w:val="en-US"/>
        </w:rPr>
        <w:t>d</w:t>
      </w:r>
      <w:r w:rsidR="00C42C20">
        <w:rPr>
          <w:rFonts w:ascii="Arial" w:hAnsi="Arial" w:cs="Arial"/>
          <w:noProof/>
          <w:sz w:val="24"/>
          <w:szCs w:val="24"/>
          <w:lang w:val="en-US"/>
        </w:rPr>
        <w:t xml:space="preserve"> cathode. These side reactions change the composition and amount of electrolyte, thus influencing overall battery performance.</w:t>
      </w:r>
    </w:p>
    <w:p w14:paraId="37F45F9F" w14:textId="44CC44B2" w:rsidR="00A70350" w:rsidRDefault="009767AA" w:rsidP="009767AA">
      <w:pPr>
        <w:rPr>
          <w:rFonts w:ascii="Arial" w:hAnsi="Arial" w:cs="Arial"/>
          <w:noProof/>
          <w:sz w:val="24"/>
          <w:szCs w:val="24"/>
          <w:lang w:val="en-US"/>
        </w:rPr>
      </w:pPr>
      <w:r w:rsidRPr="009767AA">
        <w:rPr>
          <w:rFonts w:ascii="Arial" w:hAnsi="Arial" w:cs="Arial"/>
          <w:noProof/>
          <w:sz w:val="24"/>
          <w:szCs w:val="24"/>
          <w:lang w:val="en-US"/>
        </w:rPr>
        <w:t>This contribution explores the ageing pathways of NMC/Graphite pouch cells using different electrolyte compositions.</w:t>
      </w:r>
      <w:r>
        <w:rPr>
          <w:rFonts w:ascii="Arial" w:hAnsi="Arial" w:cs="Arial"/>
          <w:noProof/>
          <w:sz w:val="24"/>
          <w:szCs w:val="24"/>
          <w:lang w:val="en-US"/>
        </w:rPr>
        <w:t xml:space="preserve"> Over 40 cells with three different electrolyte comp</w:t>
      </w:r>
      <w:r w:rsidR="00C42C20">
        <w:rPr>
          <w:rFonts w:ascii="Arial" w:hAnsi="Arial" w:cs="Arial"/>
          <w:noProof/>
          <w:sz w:val="24"/>
          <w:szCs w:val="24"/>
          <w:lang w:val="en-US"/>
        </w:rPr>
        <w:t>ositions were aged under different conditions to compare the performance of commonly used additives.</w:t>
      </w:r>
      <w:r w:rsidR="00A70350">
        <w:rPr>
          <w:rFonts w:ascii="Arial" w:hAnsi="Arial" w:cs="Arial"/>
          <w:noProof/>
          <w:sz w:val="24"/>
          <w:szCs w:val="24"/>
          <w:lang w:val="en-US"/>
        </w:rPr>
        <w:t xml:space="preserve"> In addition to these tests</w:t>
      </w:r>
      <w:r w:rsidR="00D1486A">
        <w:rPr>
          <w:rFonts w:ascii="Arial" w:hAnsi="Arial" w:cs="Arial"/>
          <w:noProof/>
          <w:sz w:val="24"/>
          <w:szCs w:val="24"/>
          <w:lang w:val="en-US"/>
        </w:rPr>
        <w:t>,</w:t>
      </w:r>
      <w:r w:rsidR="00A70350">
        <w:rPr>
          <w:rFonts w:ascii="Arial" w:hAnsi="Arial" w:cs="Arial"/>
          <w:noProof/>
          <w:sz w:val="24"/>
          <w:szCs w:val="24"/>
          <w:lang w:val="en-US"/>
        </w:rPr>
        <w:t xml:space="preserve"> further </w:t>
      </w:r>
      <w:r w:rsidR="00C539CC">
        <w:rPr>
          <w:rFonts w:ascii="Arial" w:hAnsi="Arial" w:cs="Arial"/>
          <w:noProof/>
          <w:sz w:val="24"/>
          <w:szCs w:val="24"/>
          <w:lang w:val="en-US"/>
        </w:rPr>
        <w:t>coin-cell measurements will improve the understanding of</w:t>
      </w:r>
      <w:r w:rsidR="00A70350">
        <w:rPr>
          <w:rFonts w:ascii="Arial" w:hAnsi="Arial" w:cs="Arial"/>
          <w:noProof/>
          <w:sz w:val="24"/>
          <w:szCs w:val="24"/>
          <w:lang w:val="en-US"/>
        </w:rPr>
        <w:t xml:space="preserve"> electrolyte degradation processes.</w:t>
      </w:r>
    </w:p>
    <w:p w14:paraId="393037F9" w14:textId="7E31DB1C" w:rsidR="00112771" w:rsidRDefault="009767AA" w:rsidP="009767AA">
      <w:pPr>
        <w:rPr>
          <w:rFonts w:ascii="Arial" w:hAnsi="Arial" w:cs="Arial"/>
          <w:sz w:val="24"/>
          <w:szCs w:val="24"/>
          <w:lang w:val="en-US"/>
        </w:rPr>
      </w:pPr>
      <w:r w:rsidRPr="009767AA">
        <w:rPr>
          <w:rFonts w:ascii="Arial" w:hAnsi="Arial" w:cs="Arial"/>
          <w:noProof/>
          <w:sz w:val="24"/>
          <w:szCs w:val="24"/>
          <w:lang w:val="en-US"/>
        </w:rPr>
        <w:t>Both electrical data</w:t>
      </w:r>
      <w:r w:rsidR="00D1486A">
        <w:rPr>
          <w:rFonts w:ascii="Arial" w:hAnsi="Arial" w:cs="Arial"/>
          <w:noProof/>
          <w:sz w:val="24"/>
          <w:szCs w:val="24"/>
          <w:lang w:val="en-US"/>
        </w:rPr>
        <w:t>, as well as insights in gas evolution of the cells,</w:t>
      </w:r>
      <w:r w:rsidR="00A70350">
        <w:rPr>
          <w:rFonts w:ascii="Arial" w:hAnsi="Arial" w:cs="Arial"/>
          <w:noProof/>
          <w:sz w:val="24"/>
          <w:szCs w:val="24"/>
          <w:lang w:val="en-US"/>
        </w:rPr>
        <w:t xml:space="preserve"> are presented on this poster.</w:t>
      </w:r>
      <w:r w:rsidR="00C539CC">
        <w:rPr>
          <w:rFonts w:ascii="Arial" w:hAnsi="Arial" w:cs="Arial"/>
          <w:noProof/>
          <w:sz w:val="24"/>
          <w:szCs w:val="24"/>
          <w:lang w:val="en-US"/>
        </w:rPr>
        <w:t xml:space="preserve"> D</w:t>
      </w:r>
      <w:r w:rsidRPr="009767AA">
        <w:rPr>
          <w:rFonts w:ascii="Arial" w:hAnsi="Arial" w:cs="Arial"/>
          <w:noProof/>
          <w:sz w:val="24"/>
          <w:szCs w:val="24"/>
          <w:lang w:val="en-US"/>
        </w:rPr>
        <w:t>ifferential voltage analysis is used to study the ageing mechanisms and the effect of additives on the long-term performance of the batteries. The availability of detailed formation data enables the analysis of correlations between cell behaviour during the initial formation cycle and subsequent performance of the cell during cyclic and calendaric ageing.</w:t>
      </w:r>
      <w:r w:rsidR="00C539CC">
        <w:rPr>
          <w:rFonts w:ascii="Arial" w:hAnsi="Arial" w:cs="Arial"/>
          <w:noProof/>
          <w:sz w:val="24"/>
          <w:szCs w:val="24"/>
          <w:lang w:val="en-US"/>
        </w:rPr>
        <w:t xml:space="preserve"> A basic approach to include electrolyte degradation in a Newman-model will also be presented.</w:t>
      </w:r>
    </w:p>
    <w:p w14:paraId="3A8301E0" w14:textId="77777777" w:rsidR="00112771" w:rsidRDefault="00112771">
      <w:pPr>
        <w:rPr>
          <w:rFonts w:ascii="Arial" w:hAnsi="Arial" w:cs="Arial"/>
          <w:sz w:val="24"/>
          <w:szCs w:val="24"/>
          <w:lang w:val="en-US"/>
        </w:rPr>
      </w:pPr>
    </w:p>
    <w:p w14:paraId="43B069BD" w14:textId="77777777" w:rsidR="00112771" w:rsidRPr="00BA1DA3" w:rsidRDefault="00112771">
      <w:pPr>
        <w:rPr>
          <w:b/>
          <w:bCs/>
          <w:lang w:val="en-US"/>
        </w:rPr>
      </w:pPr>
    </w:p>
    <w:sectPr w:rsidR="00112771" w:rsidRPr="00BA1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MjEwNDA1MjYxMjFV0lEKTi0uzszPAykwrAUArlkcuiwAAAA="/>
  </w:docVars>
  <w:rsids>
    <w:rsidRoot w:val="00BA1DA3"/>
    <w:rsid w:val="00005872"/>
    <w:rsid w:val="00043E9F"/>
    <w:rsid w:val="00087F6E"/>
    <w:rsid w:val="00092B06"/>
    <w:rsid w:val="000A1EF6"/>
    <w:rsid w:val="000B7140"/>
    <w:rsid w:val="00112771"/>
    <w:rsid w:val="00171090"/>
    <w:rsid w:val="00186E2F"/>
    <w:rsid w:val="001A36BC"/>
    <w:rsid w:val="001C140C"/>
    <w:rsid w:val="002721A1"/>
    <w:rsid w:val="0029572C"/>
    <w:rsid w:val="002A1C98"/>
    <w:rsid w:val="002F0BB7"/>
    <w:rsid w:val="002F5A96"/>
    <w:rsid w:val="003071EA"/>
    <w:rsid w:val="00375E3C"/>
    <w:rsid w:val="003D5A78"/>
    <w:rsid w:val="003E01F6"/>
    <w:rsid w:val="00425202"/>
    <w:rsid w:val="00463A89"/>
    <w:rsid w:val="00471281"/>
    <w:rsid w:val="004B2B99"/>
    <w:rsid w:val="004C347C"/>
    <w:rsid w:val="004C56C2"/>
    <w:rsid w:val="00555CE2"/>
    <w:rsid w:val="0056687E"/>
    <w:rsid w:val="005F661B"/>
    <w:rsid w:val="006503C4"/>
    <w:rsid w:val="0069380C"/>
    <w:rsid w:val="006A0193"/>
    <w:rsid w:val="0071099E"/>
    <w:rsid w:val="00781887"/>
    <w:rsid w:val="007D1FE0"/>
    <w:rsid w:val="008057E6"/>
    <w:rsid w:val="00842591"/>
    <w:rsid w:val="0085234D"/>
    <w:rsid w:val="00900297"/>
    <w:rsid w:val="00935BC0"/>
    <w:rsid w:val="0097356E"/>
    <w:rsid w:val="009767AA"/>
    <w:rsid w:val="00992149"/>
    <w:rsid w:val="00994A04"/>
    <w:rsid w:val="009B1D4C"/>
    <w:rsid w:val="009C73B0"/>
    <w:rsid w:val="009F70E0"/>
    <w:rsid w:val="00A03D4A"/>
    <w:rsid w:val="00A13870"/>
    <w:rsid w:val="00A52B11"/>
    <w:rsid w:val="00A53C51"/>
    <w:rsid w:val="00A70350"/>
    <w:rsid w:val="00AA0CA2"/>
    <w:rsid w:val="00AA4B3B"/>
    <w:rsid w:val="00AA524A"/>
    <w:rsid w:val="00AB6D62"/>
    <w:rsid w:val="00AB7B7E"/>
    <w:rsid w:val="00B0105C"/>
    <w:rsid w:val="00B15A25"/>
    <w:rsid w:val="00B346E8"/>
    <w:rsid w:val="00B4176C"/>
    <w:rsid w:val="00B43EDC"/>
    <w:rsid w:val="00BA1DA3"/>
    <w:rsid w:val="00BE3C5A"/>
    <w:rsid w:val="00C23BBB"/>
    <w:rsid w:val="00C42C20"/>
    <w:rsid w:val="00C539CC"/>
    <w:rsid w:val="00C754A7"/>
    <w:rsid w:val="00C76C05"/>
    <w:rsid w:val="00CA0D9F"/>
    <w:rsid w:val="00CD798B"/>
    <w:rsid w:val="00D1486A"/>
    <w:rsid w:val="00D25DEB"/>
    <w:rsid w:val="00D6160E"/>
    <w:rsid w:val="00D7219E"/>
    <w:rsid w:val="00D82B1B"/>
    <w:rsid w:val="00D933D0"/>
    <w:rsid w:val="00DD6241"/>
    <w:rsid w:val="00DD7172"/>
    <w:rsid w:val="00DF5E0F"/>
    <w:rsid w:val="00E3487B"/>
    <w:rsid w:val="00E6533F"/>
    <w:rsid w:val="00EE5197"/>
    <w:rsid w:val="00F13664"/>
    <w:rsid w:val="00F34B2A"/>
    <w:rsid w:val="00F635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DFBB"/>
  <w15:chartTrackingRefBased/>
  <w15:docId w15:val="{D549867B-5339-457D-A912-22A244DF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01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193"/>
    <w:rPr>
      <w:rFonts w:ascii="Segoe UI" w:hAnsi="Segoe UI" w:cs="Segoe UI"/>
      <w:sz w:val="18"/>
      <w:szCs w:val="18"/>
    </w:rPr>
  </w:style>
  <w:style w:type="character" w:styleId="Kommentarzeichen">
    <w:name w:val="annotation reference"/>
    <w:basedOn w:val="Absatz-Standardschriftart"/>
    <w:uiPriority w:val="99"/>
    <w:semiHidden/>
    <w:unhideWhenUsed/>
    <w:rsid w:val="00F635A9"/>
    <w:rPr>
      <w:sz w:val="16"/>
      <w:szCs w:val="16"/>
    </w:rPr>
  </w:style>
  <w:style w:type="paragraph" w:styleId="Kommentartext">
    <w:name w:val="annotation text"/>
    <w:basedOn w:val="Standard"/>
    <w:link w:val="KommentartextZchn"/>
    <w:uiPriority w:val="99"/>
    <w:semiHidden/>
    <w:unhideWhenUsed/>
    <w:rsid w:val="00F635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5A9"/>
    <w:rPr>
      <w:sz w:val="20"/>
      <w:szCs w:val="20"/>
    </w:rPr>
  </w:style>
  <w:style w:type="paragraph" w:styleId="Kommentarthema">
    <w:name w:val="annotation subject"/>
    <w:basedOn w:val="Kommentartext"/>
    <w:next w:val="Kommentartext"/>
    <w:link w:val="KommentarthemaZchn"/>
    <w:uiPriority w:val="99"/>
    <w:semiHidden/>
    <w:unhideWhenUsed/>
    <w:rsid w:val="00F635A9"/>
    <w:rPr>
      <w:b/>
      <w:bCs/>
    </w:rPr>
  </w:style>
  <w:style w:type="character" w:customStyle="1" w:styleId="KommentarthemaZchn">
    <w:name w:val="Kommentarthema Zchn"/>
    <w:basedOn w:val="KommentartextZchn"/>
    <w:link w:val="Kommentarthema"/>
    <w:uiPriority w:val="99"/>
    <w:semiHidden/>
    <w:rsid w:val="00F63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DF46-E0EA-4945-AD45-80AC2ACF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Zappen, Hendrik</dc:creator>
  <cp:keywords/>
  <dc:description/>
  <cp:lastModifiedBy>Klick, Sebastian</cp:lastModifiedBy>
  <cp:revision>4</cp:revision>
  <dcterms:created xsi:type="dcterms:W3CDTF">2021-10-21T14:46:00Z</dcterms:created>
  <dcterms:modified xsi:type="dcterms:W3CDTF">2021-10-25T12:42:00Z</dcterms:modified>
</cp:coreProperties>
</file>